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4E18" w14:textId="77777777" w:rsidR="003F5016" w:rsidRDefault="00556E11" w:rsidP="00556E11">
      <w:pPr>
        <w:jc w:val="center"/>
        <w:rPr>
          <w:lang w:val="pt-BR"/>
        </w:rPr>
      </w:pPr>
      <w:r>
        <w:rPr>
          <w:lang w:val="pt-BR"/>
        </w:rPr>
        <w:t>Execução e cumprimento de sentença</w:t>
      </w:r>
    </w:p>
    <w:p w14:paraId="349CB41A" w14:textId="77777777" w:rsidR="00556E11" w:rsidRDefault="00556E11">
      <w:pPr>
        <w:rPr>
          <w:lang w:val="pt-BR"/>
        </w:rPr>
      </w:pPr>
    </w:p>
    <w:p w14:paraId="7AB62AEC" w14:textId="15CEFC14" w:rsidR="00993C14" w:rsidRDefault="00993C14">
      <w:pPr>
        <w:rPr>
          <w:lang w:val="pt-BR"/>
        </w:rPr>
      </w:pPr>
      <w:r>
        <w:rPr>
          <w:lang w:val="pt-BR"/>
        </w:rPr>
        <w:t>Atenção à regra do art. 139, IV do CPC e toda polêmica relativa à atipicidade dos meios executivos</w:t>
      </w:r>
      <w:r w:rsidR="00F35646">
        <w:rPr>
          <w:lang w:val="pt-BR"/>
        </w:rPr>
        <w:t xml:space="preserve"> (ADI 5941)</w:t>
      </w:r>
      <w:r>
        <w:rPr>
          <w:lang w:val="pt-BR"/>
        </w:rPr>
        <w:t>.</w:t>
      </w:r>
    </w:p>
    <w:p w14:paraId="3999AC00" w14:textId="77777777" w:rsidR="00993C14" w:rsidRDefault="00993C14">
      <w:pPr>
        <w:rPr>
          <w:lang w:val="pt-BR"/>
        </w:rPr>
      </w:pPr>
    </w:p>
    <w:p w14:paraId="57685709" w14:textId="77777777" w:rsidR="00993C14" w:rsidRDefault="00993C14">
      <w:pPr>
        <w:rPr>
          <w:lang w:val="pt-BR"/>
        </w:rPr>
      </w:pPr>
      <w:r>
        <w:rPr>
          <w:lang w:val="pt-BR"/>
        </w:rPr>
        <w:t>Procedimento da execução de quantia certa: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2"/>
      </w:tblGrid>
      <w:tr w:rsidR="00556E11" w:rsidRPr="00F35646" w14:paraId="2F795A21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DFE8B5" w14:textId="77777777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>1)</w:t>
            </w:r>
            <w:r>
              <w:t xml:space="preserve"> Inicial é instruída com:</w:t>
            </w:r>
          </w:p>
          <w:p w14:paraId="20EF4BEF" w14:textId="77777777" w:rsidR="00556E11" w:rsidRDefault="00556E11" w:rsidP="004619B9">
            <w:pPr>
              <w:pStyle w:val="Para013"/>
              <w:ind w:firstLine="315"/>
            </w:pPr>
            <w:r>
              <w:rPr>
                <w:rStyle w:val="03Text"/>
              </w:rPr>
              <w:t>■</w:t>
            </w:r>
            <w:r>
              <w:t>título executivo extrajudicial (NCPC, art. 798, I, a); e</w:t>
            </w:r>
          </w:p>
          <w:p w14:paraId="1740E40C" w14:textId="57A3299C" w:rsidR="00556E11" w:rsidRDefault="00556E11" w:rsidP="004619B9">
            <w:pPr>
              <w:pStyle w:val="Para013"/>
              <w:ind w:firstLine="315"/>
            </w:pPr>
            <w:r>
              <w:rPr>
                <w:rStyle w:val="03Text"/>
              </w:rPr>
              <w:t>■</w:t>
            </w:r>
            <w:r>
              <w:t>demonstrativo do débito atualizado (</w:t>
            </w:r>
            <w:r w:rsidR="00F35646">
              <w:t>CPC</w:t>
            </w:r>
            <w:r>
              <w:t>, art. 798, I, b).</w:t>
            </w:r>
          </w:p>
        </w:tc>
      </w:tr>
      <w:tr w:rsidR="00556E11" w:rsidRPr="00F35646" w14:paraId="14B52CA0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837F8D" w14:textId="77777777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>2)</w:t>
            </w:r>
            <w:r>
              <w:t xml:space="preserve"> Estando em termos a inicial, o juiz:</w:t>
            </w:r>
          </w:p>
          <w:p w14:paraId="18C11CB7" w14:textId="77777777" w:rsidR="00556E11" w:rsidRDefault="00556E11" w:rsidP="004619B9">
            <w:pPr>
              <w:pStyle w:val="Para013"/>
              <w:ind w:firstLine="315"/>
            </w:pPr>
            <w:r>
              <w:rPr>
                <w:rStyle w:val="03Text"/>
              </w:rPr>
              <w:t>■</w:t>
            </w:r>
            <w:r>
              <w:t>fixa, no despacho inicial, honorários de 10% sobre o valor da causa. Se houver o pagamento em 3 dias, os honorários serão reduzidos à metade (art. 827, § 1º). Se houver embargos protelatórios, honorários majorados para 20% (§ 2º);</w:t>
            </w:r>
          </w:p>
          <w:p w14:paraId="43775FD0" w14:textId="329EFDC4" w:rsidR="00556E11" w:rsidRDefault="00556E11" w:rsidP="004619B9">
            <w:pPr>
              <w:pStyle w:val="Para013"/>
              <w:ind w:firstLine="315"/>
            </w:pPr>
            <w:r>
              <w:rPr>
                <w:rStyle w:val="03Text"/>
              </w:rPr>
              <w:t>■</w:t>
            </w:r>
            <w:r>
              <w:t>determina a citação do executado, para pagar o débito em 3 dias, contados da citação (</w:t>
            </w:r>
            <w:r w:rsidR="00F35646">
              <w:t>CPC</w:t>
            </w:r>
            <w:r>
              <w:t>, art. 829).</w:t>
            </w:r>
          </w:p>
          <w:p w14:paraId="55A38567" w14:textId="77777777" w:rsidR="00556E11" w:rsidRDefault="00556E11" w:rsidP="004619B9">
            <w:pPr>
              <w:pStyle w:val="Para013"/>
              <w:ind w:firstLine="315"/>
            </w:pPr>
            <w:r>
              <w:rPr>
                <w:rStyle w:val="03Text"/>
              </w:rPr>
              <w:t>■</w:t>
            </w:r>
            <w:r>
              <w:t>A lei não prevê se são dias úteis ou corridos, e há divergência; mas há precedente do STJ pela contagem de prazos em dias úteis no cumprimento de sentença (vide item 4.2.3.2. acima);</w:t>
            </w:r>
          </w:p>
          <w:p w14:paraId="7D41AE42" w14:textId="26FC2CB6" w:rsidR="00556E11" w:rsidRDefault="00556E11" w:rsidP="004619B9">
            <w:pPr>
              <w:pStyle w:val="Para013"/>
              <w:ind w:firstLine="315"/>
            </w:pPr>
            <w:r>
              <w:rPr>
                <w:rStyle w:val="03Text"/>
              </w:rPr>
              <w:t>■</w:t>
            </w:r>
            <w:r>
              <w:t>Se não houver pagamento, haverá a penhora e avaliação, por oficial de justiça (</w:t>
            </w:r>
            <w:r w:rsidR="00F35646">
              <w:t>CPC</w:t>
            </w:r>
            <w:r>
              <w:t>, art. 870), dos bens indicados pelo exequente, salvo se o executado indicar bens que configurem situação menos onerosa a ele e que não traga prejuízo ao exequente (</w:t>
            </w:r>
            <w:r w:rsidR="00F35646">
              <w:t>CPC</w:t>
            </w:r>
            <w:r>
              <w:t>, art. 829, §§ 1º e 2º).</w:t>
            </w:r>
          </w:p>
          <w:p w14:paraId="5BC7251E" w14:textId="061F029E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>2.1)</w:t>
            </w:r>
            <w:r>
              <w:t xml:space="preserve"> Recebida a petição inicial executiva, poderá o exequente obter certidão da execução (identificadas as partes e valor da causa), para “averbação no registro de imóveis, de veículos ou de outros bens sujeitos a penhora, arresto ou indisponibilidade” (</w:t>
            </w:r>
            <w:r w:rsidR="00F35646">
              <w:t>CPC</w:t>
            </w:r>
            <w:r>
              <w:t>, art. 828).</w:t>
            </w:r>
          </w:p>
          <w:p w14:paraId="01E7D595" w14:textId="77777777" w:rsidR="00556E11" w:rsidRDefault="00556E11" w:rsidP="004619B9">
            <w:pPr>
              <w:pStyle w:val="Para007"/>
              <w:ind w:firstLine="315"/>
            </w:pPr>
            <w:r>
              <w:t>Quando isso for efetivado, deverá ser comunicado ao juízo (§ 1º).</w:t>
            </w:r>
          </w:p>
          <w:p w14:paraId="35F954E6" w14:textId="77777777" w:rsidR="00556E11" w:rsidRDefault="00556E11" w:rsidP="004619B9">
            <w:pPr>
              <w:pStyle w:val="Para007"/>
              <w:ind w:firstLine="315"/>
            </w:pPr>
            <w:r>
              <w:t>Se for realizada penhora no valor total da dívida, o exequente deverá providenciar, em 10 dias, o cancelamento das averbações dos bens não penhorados (§ 2º).</w:t>
            </w:r>
          </w:p>
          <w:p w14:paraId="393AD5FF" w14:textId="77777777" w:rsidR="00556E11" w:rsidRDefault="00556E11" w:rsidP="004619B9">
            <w:pPr>
              <w:pStyle w:val="Para007"/>
              <w:ind w:firstLine="315"/>
            </w:pPr>
            <w:r>
              <w:t>Se o exequente assim não fizer, o juiz fará de ofício (§ 3º).</w:t>
            </w:r>
          </w:p>
          <w:p w14:paraId="21306B55" w14:textId="77777777" w:rsidR="00556E11" w:rsidRDefault="00556E11" w:rsidP="004619B9">
            <w:pPr>
              <w:pStyle w:val="Para007"/>
              <w:ind w:firstLine="315"/>
            </w:pPr>
            <w:r>
              <w:t>No caso de averbação indevida ou não cancelada, caberá indenização por perdas e danos (§ 5º).</w:t>
            </w:r>
          </w:p>
          <w:p w14:paraId="59927198" w14:textId="77777777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>2.2)</w:t>
            </w:r>
            <w:r>
              <w:t xml:space="preserve"> Além disso, cabe a inscrição do devedor em cadastro restritivo de crédito.</w:t>
            </w:r>
          </w:p>
          <w:p w14:paraId="621CCCA0" w14:textId="0C782C12" w:rsidR="00556E11" w:rsidRDefault="00556E11" w:rsidP="004619B9">
            <w:pPr>
              <w:pStyle w:val="Para007"/>
              <w:ind w:firstLine="315"/>
            </w:pPr>
            <w:r>
              <w:t xml:space="preserve">A previsão está no art. 782 do </w:t>
            </w:r>
            <w:r w:rsidR="00F35646">
              <w:t>CPC</w:t>
            </w:r>
            <w:r>
              <w:t>.</w:t>
            </w:r>
          </w:p>
          <w:p w14:paraId="05E3125C" w14:textId="77777777" w:rsidR="00556E11" w:rsidRDefault="00556E11" w:rsidP="004619B9">
            <w:pPr>
              <w:pStyle w:val="Para013"/>
              <w:ind w:firstLine="315"/>
            </w:pPr>
            <w:r>
              <w:rPr>
                <w:rStyle w:val="03Text"/>
              </w:rPr>
              <w:t>■</w:t>
            </w:r>
            <w:r>
              <w:t>§ 3º A requerimento da parte, o juiz pode determinar a inclusão do nome do executado em cadastros de inadimplentes;</w:t>
            </w:r>
          </w:p>
          <w:p w14:paraId="73440D0A" w14:textId="77777777" w:rsidR="00556E11" w:rsidRDefault="00556E11" w:rsidP="004619B9">
            <w:pPr>
              <w:pStyle w:val="Para013"/>
              <w:ind w:firstLine="315"/>
            </w:pPr>
            <w:r>
              <w:rPr>
                <w:rStyle w:val="03Text"/>
              </w:rPr>
              <w:t>■</w:t>
            </w:r>
            <w:r>
              <w:t>§ 4º A inscrição será cancelada imediatamente se for efetuado o pagamento, se for garantida a execução ou se a execução for extinta por qualquer outro motivo.</w:t>
            </w:r>
          </w:p>
        </w:tc>
      </w:tr>
      <w:tr w:rsidR="00556E11" w14:paraId="7D36215E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7DB07F" w14:textId="6B0090C6" w:rsidR="00556E11" w:rsidRDefault="00556E11" w:rsidP="004619B9">
            <w:pPr>
              <w:pStyle w:val="Para007"/>
              <w:ind w:firstLine="315"/>
            </w:pPr>
            <w:r>
              <w:t xml:space="preserve">Além disso, prevê o </w:t>
            </w:r>
            <w:r w:rsidR="00F35646">
              <w:t>CPC</w:t>
            </w:r>
            <w:r>
              <w:t xml:space="preserve"> que </w:t>
            </w:r>
            <w:proofErr w:type="gramStart"/>
            <w:r>
              <w:t>o mesmo</w:t>
            </w:r>
            <w:proofErr w:type="gramEnd"/>
            <w:r>
              <w:t xml:space="preserve"> se aplica ao cumprimento de sentença definitivo de título judicial (</w:t>
            </w:r>
            <w:r w:rsidR="00F35646">
              <w:t>CPC</w:t>
            </w:r>
            <w:r>
              <w:t>, art. 782, § 5º).</w:t>
            </w:r>
          </w:p>
          <w:p w14:paraId="41E8BEB8" w14:textId="77777777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>3)</w:t>
            </w:r>
            <w:r>
              <w:t xml:space="preserve"> Se o oficial de justiça não encontrar o executado: arresto executivo dos bens (art. 830) que, segundo jurisprudência do STJ, poderá ser online.</w:t>
            </w:r>
          </w:p>
          <w:p w14:paraId="18E976BB" w14:textId="6BE33721" w:rsidR="00556E11" w:rsidRDefault="00556E11" w:rsidP="004619B9">
            <w:pPr>
              <w:pStyle w:val="Para007"/>
              <w:ind w:firstLine="315"/>
            </w:pPr>
            <w:r>
              <w:lastRenderedPageBreak/>
              <w:t>A citação pode ser feita por correio (</w:t>
            </w:r>
            <w:r w:rsidR="00F35646">
              <w:t>CPC</w:t>
            </w:r>
            <w:r>
              <w:t xml:space="preserve">, art. 247 </w:t>
            </w:r>
            <w:proofErr w:type="gramStart"/>
            <w:r>
              <w:t>e Enunciado</w:t>
            </w:r>
            <w:proofErr w:type="gramEnd"/>
            <w:r>
              <w:t xml:space="preserve"> 85 CJF: Na execução de título extrajudicial ou judicial (art. 515, § 1º, do CPC) é cabível a citação postal). E há menção específica à citação por hora certa e edital (</w:t>
            </w:r>
            <w:r w:rsidR="00F35646">
              <w:t>CPC</w:t>
            </w:r>
            <w:r>
              <w:t>, art. 830, §§ 1º e 2º).</w:t>
            </w:r>
          </w:p>
          <w:p w14:paraId="4F7CAE43" w14:textId="16447C9F" w:rsidR="00556E11" w:rsidRDefault="00556E11" w:rsidP="004619B9">
            <w:pPr>
              <w:pStyle w:val="Para007"/>
              <w:ind w:firstLine="315"/>
            </w:pPr>
            <w:r>
              <w:t>O executado, reconhecendo o crédito do exequente e comprovando o depósito de 30% do valor devido, pode requerer o parcelamento do restante em 6 vezes (com juros e correção). Com isso, renuncia ao direito de embargar (</w:t>
            </w:r>
            <w:r w:rsidR="00F35646">
              <w:t>CPC</w:t>
            </w:r>
            <w:r>
              <w:t>, art. 916).</w:t>
            </w:r>
          </w:p>
        </w:tc>
      </w:tr>
      <w:tr w:rsidR="00556E11" w:rsidRPr="00F35646" w14:paraId="5F5CC6A5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AB1BF8" w14:textId="77777777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lastRenderedPageBreak/>
              <w:t>4)</w:t>
            </w:r>
            <w:r>
              <w:t xml:space="preserve"> Após a citação, cabem embargos.</w:t>
            </w:r>
          </w:p>
        </w:tc>
      </w:tr>
      <w:tr w:rsidR="00556E11" w:rsidRPr="00F35646" w14:paraId="23A5C776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D81B6" w14:textId="72630094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 xml:space="preserve">5) </w:t>
            </w:r>
            <w:r>
              <w:t>Não suspensa a execução ou rejeitados os embargos: tentativa de alienação do bem penhorado (</w:t>
            </w:r>
            <w:r w:rsidR="00F35646">
              <w:t>CPC</w:t>
            </w:r>
            <w:r>
              <w:t>, art. 875).</w:t>
            </w:r>
          </w:p>
        </w:tc>
      </w:tr>
      <w:tr w:rsidR="00556E11" w:rsidRPr="00F35646" w14:paraId="7D21E39B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1B104" w14:textId="77777777" w:rsidR="00556E11" w:rsidRDefault="00556E11" w:rsidP="004619B9">
            <w:pPr>
              <w:pStyle w:val="Para018"/>
              <w:ind w:firstLine="315"/>
            </w:pPr>
            <w:r>
              <w:t>6) Prosseguindo a execução, haverá a tentativa de expropriação do bem penhorado</w:t>
            </w:r>
            <w:r>
              <w:rPr>
                <w:rStyle w:val="07Text"/>
              </w:rPr>
              <w:t>, que poderá ocorrer de três maneiras, na seguinte ordem:</w:t>
            </w:r>
          </w:p>
          <w:p w14:paraId="5250B44E" w14:textId="16FAADEA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>(i) adjudicação ao exequente</w:t>
            </w:r>
            <w:r>
              <w:t>, em que o próprio exequente receberá o bem como forma de pagamento, pelo valor da avaliação (</w:t>
            </w:r>
            <w:r w:rsidR="00F35646">
              <w:t>CPC</w:t>
            </w:r>
            <w:r>
              <w:t>, art. 876);</w:t>
            </w:r>
          </w:p>
        </w:tc>
      </w:tr>
      <w:tr w:rsidR="00556E11" w:rsidRPr="00F35646" w14:paraId="63FBBDC2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25B842" w14:textId="43CE7C31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>(ii) alienação por iniciativa particular</w:t>
            </w:r>
            <w:r>
              <w:t>, em que o exequente tentará alienar o bem para quem não é parte no processo (</w:t>
            </w:r>
            <w:r w:rsidR="00F35646">
              <w:t>CPC</w:t>
            </w:r>
            <w:r>
              <w:t>, art. 880); ou</w:t>
            </w:r>
          </w:p>
          <w:p w14:paraId="7A1A74B2" w14:textId="22167DA4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>(iii) leilão judicial eletrônico ou presencial</w:t>
            </w:r>
            <w:r>
              <w:t>, alienação realizada no bojo do processo judicial (</w:t>
            </w:r>
            <w:r w:rsidR="00F35646">
              <w:t>CPC</w:t>
            </w:r>
            <w:r>
              <w:t>, art. 881).</w:t>
            </w:r>
          </w:p>
        </w:tc>
      </w:tr>
      <w:tr w:rsidR="00556E11" w:rsidRPr="00F35646" w14:paraId="133DF710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ABA74C" w14:textId="258447AD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 xml:space="preserve">7) </w:t>
            </w:r>
            <w:r>
              <w:t>A primeira opção é a adjudicação por parte do exequente, pelo preço da avaliação. Se não houver êxito nessa, passa-se às demais. Se, ao final, não houver êxito, há nova oportunidade para adjudicar, podendo ser requerida nova avaliação (</w:t>
            </w:r>
            <w:r w:rsidR="00F35646">
              <w:t>CPC</w:t>
            </w:r>
            <w:r>
              <w:t>, art. 878).</w:t>
            </w:r>
          </w:p>
        </w:tc>
      </w:tr>
      <w:tr w:rsidR="00556E11" w:rsidRPr="00F35646" w14:paraId="527C9ED8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3BDC3B" w14:textId="4D5B5BF7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>8)</w:t>
            </w:r>
            <w:r>
              <w:t xml:space="preserve"> A segunda opção é a alienação por iniciativa particular, mediante requerimento do exequente, também pelo valor da avaliação, por conta própria ou corretor ou leiloeiro credenciados perante o Judiciário (</w:t>
            </w:r>
            <w:r w:rsidR="00F35646">
              <w:t>CPC</w:t>
            </w:r>
            <w:r>
              <w:t>, art.880).</w:t>
            </w:r>
          </w:p>
        </w:tc>
      </w:tr>
      <w:tr w:rsidR="00556E11" w:rsidRPr="00F35646" w14:paraId="0FD90755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E6B564" w14:textId="791C7602" w:rsidR="00556E11" w:rsidRDefault="00556E11" w:rsidP="004619B9">
            <w:pPr>
              <w:pStyle w:val="Para018"/>
              <w:ind w:firstLine="315"/>
            </w:pPr>
            <w:r>
              <w:t>9) Se não houver êxito nas hipóteses anteriores, haverá leilão,</w:t>
            </w:r>
            <w:r>
              <w:rPr>
                <w:rStyle w:val="07Text"/>
              </w:rPr>
              <w:t xml:space="preserve"> preferencialmente presencial (</w:t>
            </w:r>
            <w:r w:rsidR="00F35646">
              <w:rPr>
                <w:rStyle w:val="07Text"/>
              </w:rPr>
              <w:t>CPC</w:t>
            </w:r>
            <w:r>
              <w:rPr>
                <w:rStyle w:val="07Text"/>
              </w:rPr>
              <w:t>, art. 882).</w:t>
            </w:r>
          </w:p>
          <w:p w14:paraId="5AC9668A" w14:textId="09B8C12F" w:rsidR="00556E11" w:rsidRDefault="00556E11" w:rsidP="004619B9">
            <w:pPr>
              <w:pStyle w:val="Para007"/>
              <w:ind w:firstLine="315"/>
            </w:pPr>
            <w:r>
              <w:t>A definição do preço mínimo do bem no leilão, condições de pagamento e garantia serão definidas pelo juiz (</w:t>
            </w:r>
            <w:r w:rsidR="00F35646">
              <w:t>CPC</w:t>
            </w:r>
            <w:r>
              <w:t>, 885).</w:t>
            </w:r>
          </w:p>
          <w:p w14:paraId="7B6F9239" w14:textId="67A11B4C" w:rsidR="00556E11" w:rsidRDefault="00556E11" w:rsidP="004619B9">
            <w:pPr>
              <w:pStyle w:val="Para007"/>
              <w:ind w:firstLine="315"/>
            </w:pPr>
            <w:r>
              <w:t xml:space="preserve">Será </w:t>
            </w:r>
            <w:r>
              <w:rPr>
                <w:rStyle w:val="03Text"/>
              </w:rPr>
              <w:t>preço vil</w:t>
            </w:r>
            <w:r>
              <w:t xml:space="preserve"> (e, portanto, não poderá ser aceito) o preço inferior ao mínimo estipulado pelo juiz ou, não tendo sido fixado preço mínimo, o preço inferir a 50% do valor da avaliação (</w:t>
            </w:r>
            <w:r w:rsidR="00F35646">
              <w:t>CPC</w:t>
            </w:r>
            <w:r>
              <w:t>, art. 891, parágrafo único).</w:t>
            </w:r>
          </w:p>
          <w:p w14:paraId="02498999" w14:textId="0255A7B3" w:rsidR="00556E11" w:rsidRDefault="00556E11" w:rsidP="004619B9">
            <w:pPr>
              <w:pStyle w:val="Para007"/>
              <w:ind w:firstLine="315"/>
            </w:pPr>
            <w:r>
              <w:t>Será publicado edital com todas as informações do bem, inclusive data do 1º e 2º leilões – o 2º para o caso de não haver interessados no 1º (</w:t>
            </w:r>
            <w:r w:rsidR="00F35646">
              <w:t>CPC</w:t>
            </w:r>
            <w:r>
              <w:t>, art. 886, V).</w:t>
            </w:r>
          </w:p>
          <w:p w14:paraId="5A3073D8" w14:textId="00A316C6" w:rsidR="00556E11" w:rsidRDefault="00556E11" w:rsidP="004619B9">
            <w:pPr>
              <w:pStyle w:val="Para007"/>
              <w:ind w:firstLine="315"/>
            </w:pPr>
            <w:r>
              <w:t>Não podem oferecer lance algumas pessoas, dentre as quais o juiz e demais servidores na localidade onde servirem, leiloeiros e advogados (</w:t>
            </w:r>
            <w:r w:rsidR="00F35646">
              <w:t>CPC</w:t>
            </w:r>
            <w:r>
              <w:t>, art. 890). Portanto, o próprio exequente pode oferecer lance.</w:t>
            </w:r>
          </w:p>
        </w:tc>
      </w:tr>
      <w:tr w:rsidR="00556E11" w:rsidRPr="00F35646" w14:paraId="6E537245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FAF48A" w14:textId="16779E5A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lastRenderedPageBreak/>
              <w:t>10)</w:t>
            </w:r>
            <w:r>
              <w:t xml:space="preserve"> Expropriado o bem (seja pela adjudicação, alienação ou arrematação), é possível ao executado impugnar a expropriação, via ação autônoma (</w:t>
            </w:r>
            <w:r w:rsidR="00F35646">
              <w:t>CPC</w:t>
            </w:r>
            <w:r>
              <w:t>, art. 903, § 4º).</w:t>
            </w:r>
          </w:p>
          <w:p w14:paraId="1D840F80" w14:textId="77777777" w:rsidR="00556E11" w:rsidRDefault="00556E11" w:rsidP="004619B9">
            <w:pPr>
              <w:pStyle w:val="Para007"/>
              <w:ind w:firstLine="315"/>
            </w:pPr>
            <w:r>
              <w:t xml:space="preserve">Portanto, </w:t>
            </w:r>
            <w:r>
              <w:rPr>
                <w:rStyle w:val="03Text"/>
              </w:rPr>
              <w:t>deixam de existir os embargos de 2ª fase</w:t>
            </w:r>
            <w:r>
              <w:t xml:space="preserve"> (</w:t>
            </w:r>
            <w:r>
              <w:rPr>
                <w:rStyle w:val="03Text"/>
              </w:rPr>
              <w:t>embargos à arrematação/adjudicação</w:t>
            </w:r>
            <w:r>
              <w:t>) e passa a ser cabível uma ação autônoma par desconstituir a expropriação, em que o arrematante será litisconsorte necessário.</w:t>
            </w:r>
          </w:p>
        </w:tc>
      </w:tr>
      <w:tr w:rsidR="00556E11" w:rsidRPr="00F35646" w14:paraId="2207E0C2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53B9EE" w14:textId="77777777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>11)</w:t>
            </w:r>
            <w:r>
              <w:t xml:space="preserve"> Ao final, </w:t>
            </w:r>
            <w:r>
              <w:rPr>
                <w:rStyle w:val="03Text"/>
              </w:rPr>
              <w:t>extinção</w:t>
            </w:r>
            <w:r>
              <w:t xml:space="preserve"> da execução.</w:t>
            </w:r>
          </w:p>
          <w:p w14:paraId="3110927D" w14:textId="2DB6672B" w:rsidR="00556E11" w:rsidRDefault="00F35646" w:rsidP="004619B9">
            <w:pPr>
              <w:pStyle w:val="Para007"/>
              <w:ind w:firstLine="315"/>
            </w:pPr>
            <w:r>
              <w:t>CPC</w:t>
            </w:r>
            <w:r w:rsidR="00556E11">
              <w:t>, art. 924. Extingue-se a execução quando:</w:t>
            </w:r>
          </w:p>
          <w:p w14:paraId="63D093A2" w14:textId="77777777" w:rsidR="00556E11" w:rsidRDefault="00556E11" w:rsidP="004619B9">
            <w:pPr>
              <w:pStyle w:val="Para007"/>
              <w:ind w:firstLine="315"/>
            </w:pPr>
            <w:r>
              <w:t xml:space="preserve">I – </w:t>
            </w:r>
            <w:proofErr w:type="gramStart"/>
            <w:r>
              <w:t>a</w:t>
            </w:r>
            <w:proofErr w:type="gramEnd"/>
            <w:r>
              <w:t xml:space="preserve"> petição inicial for indeferida;</w:t>
            </w:r>
          </w:p>
          <w:p w14:paraId="53BC9FF7" w14:textId="77777777" w:rsidR="00556E11" w:rsidRDefault="00556E11" w:rsidP="004619B9">
            <w:pPr>
              <w:pStyle w:val="Para007"/>
              <w:ind w:firstLine="315"/>
            </w:pPr>
            <w:r>
              <w:t xml:space="preserve">II – </w:t>
            </w:r>
            <w:proofErr w:type="gramStart"/>
            <w:r>
              <w:t>a</w:t>
            </w:r>
            <w:proofErr w:type="gramEnd"/>
            <w:r>
              <w:t xml:space="preserve"> obrigação for satisfeita;</w:t>
            </w:r>
          </w:p>
          <w:p w14:paraId="0651B913" w14:textId="77777777" w:rsidR="00556E11" w:rsidRDefault="00556E11" w:rsidP="004619B9">
            <w:pPr>
              <w:pStyle w:val="Para007"/>
              <w:ind w:firstLine="315"/>
            </w:pPr>
            <w:r>
              <w:t>III – o executado obtiver, por qualquer outro meio, a extinção total da dívida;</w:t>
            </w:r>
          </w:p>
          <w:p w14:paraId="0835C86D" w14:textId="77777777" w:rsidR="00556E11" w:rsidRDefault="00556E11" w:rsidP="004619B9">
            <w:pPr>
              <w:pStyle w:val="Para007"/>
              <w:ind w:firstLine="315"/>
            </w:pPr>
            <w:r>
              <w:t xml:space="preserve">IV – </w:t>
            </w:r>
            <w:proofErr w:type="gramStart"/>
            <w:r>
              <w:t>o</w:t>
            </w:r>
            <w:proofErr w:type="gramEnd"/>
            <w:r>
              <w:t xml:space="preserve"> exequente renunciar ao crédito;</w:t>
            </w:r>
          </w:p>
          <w:p w14:paraId="1256ABC2" w14:textId="77777777" w:rsidR="00556E11" w:rsidRDefault="00556E11" w:rsidP="004619B9">
            <w:pPr>
              <w:pStyle w:val="Para007"/>
              <w:ind w:firstLine="315"/>
            </w:pPr>
            <w:r>
              <w:t xml:space="preserve">V – </w:t>
            </w:r>
            <w:proofErr w:type="gramStart"/>
            <w:r>
              <w:t>ocorrer</w:t>
            </w:r>
            <w:proofErr w:type="gramEnd"/>
            <w:r>
              <w:t xml:space="preserve"> a prescrição intercorrente.</w:t>
            </w:r>
          </w:p>
        </w:tc>
      </w:tr>
    </w:tbl>
    <w:p w14:paraId="23463D8F" w14:textId="77777777" w:rsidR="00556E11" w:rsidRDefault="00556E11">
      <w:pPr>
        <w:rPr>
          <w:lang w:val="pt-BR"/>
        </w:rPr>
      </w:pPr>
    </w:p>
    <w:p w14:paraId="58B44A93" w14:textId="77777777" w:rsidR="00993C14" w:rsidRDefault="00993C14">
      <w:pPr>
        <w:rPr>
          <w:lang w:val="pt-BR"/>
        </w:rPr>
      </w:pPr>
      <w:r>
        <w:rPr>
          <w:lang w:val="pt-BR"/>
        </w:rPr>
        <w:t>Procedimento do cumprimento de sentença: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2"/>
      </w:tblGrid>
      <w:tr w:rsidR="00556E11" w:rsidRPr="00F35646" w14:paraId="66477822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9DC903" w14:textId="77777777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>1)</w:t>
            </w:r>
            <w:r>
              <w:t xml:space="preserve"> Proferida decisão condenatória e não havendo pagamento espontâneo pelo réu, o autor requererá o início do cumprimento de sentença (art. 523).</w:t>
            </w:r>
          </w:p>
          <w:p w14:paraId="1B35493D" w14:textId="77777777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>1.1)</w:t>
            </w:r>
            <w:r>
              <w:t xml:space="preserve"> Esse requerimento deverá ser instruído com completa memória do débito, bem como já indicar bens (art. 524) – sendo possível requerer a penhora online.</w:t>
            </w:r>
          </w:p>
        </w:tc>
      </w:tr>
      <w:tr w:rsidR="00556E11" w:rsidRPr="00F35646" w14:paraId="4EB15D33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D89B6C" w14:textId="77777777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>2)</w:t>
            </w:r>
            <w:r>
              <w:t xml:space="preserve"> Intimado o réu, se não houver pagamento no prazo de 15 dias, incidirá multa e honorários, no valor de 10% cada (art. 523, § 1º).</w:t>
            </w:r>
          </w:p>
          <w:p w14:paraId="36CF6DBB" w14:textId="77777777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>2.1)</w:t>
            </w:r>
            <w:r>
              <w:t xml:space="preserve"> Na falta de pagamento, haverá penhora e avaliação de bens necessários à satisfação do débito (art. 523).</w:t>
            </w:r>
          </w:p>
        </w:tc>
      </w:tr>
      <w:tr w:rsidR="00556E11" w:rsidRPr="00F35646" w14:paraId="19D85693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514533" w14:textId="77777777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>3)</w:t>
            </w:r>
            <w:r>
              <w:t xml:space="preserve"> Poderá o executado apresentar impugnação (art. 525).</w:t>
            </w:r>
          </w:p>
        </w:tc>
      </w:tr>
      <w:tr w:rsidR="00556E11" w:rsidRPr="00F35646" w14:paraId="4B59FA8E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7DFCDA" w14:textId="77777777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>4)</w:t>
            </w:r>
            <w:r>
              <w:t xml:space="preserve"> Se a impugnação não suspender o cumprimento de sentença ou, ao final, for rejeitada, ocorrerá a alienação do bem penhorado.</w:t>
            </w:r>
          </w:p>
        </w:tc>
      </w:tr>
      <w:tr w:rsidR="00556E11" w14:paraId="4987EE67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EDFEBD" w14:textId="77777777" w:rsidR="00556E11" w:rsidRDefault="00556E11" w:rsidP="004619B9">
            <w:pPr>
              <w:pStyle w:val="Para018"/>
              <w:ind w:firstLine="315"/>
            </w:pPr>
            <w:r>
              <w:t>5) Expropriação de bens segue as regras da execução de título extrajudicial:</w:t>
            </w:r>
          </w:p>
          <w:p w14:paraId="26527ABE" w14:textId="77777777" w:rsidR="00556E11" w:rsidRDefault="00556E11" w:rsidP="004619B9">
            <w:pPr>
              <w:pStyle w:val="Para013"/>
              <w:ind w:firstLine="315"/>
            </w:pPr>
            <w:r>
              <w:rPr>
                <w:rStyle w:val="03Text"/>
              </w:rPr>
              <w:t>■</w:t>
            </w:r>
            <w:r>
              <w:t>adjudicação pelo credor;</w:t>
            </w:r>
          </w:p>
          <w:p w14:paraId="453B9BF2" w14:textId="77777777" w:rsidR="00556E11" w:rsidRDefault="00556E11" w:rsidP="004619B9">
            <w:pPr>
              <w:pStyle w:val="Para013"/>
              <w:ind w:firstLine="315"/>
            </w:pPr>
            <w:r>
              <w:rPr>
                <w:rStyle w:val="03Text"/>
              </w:rPr>
              <w:t>■</w:t>
            </w:r>
            <w:r>
              <w:t>alienação por iniciativa particular;</w:t>
            </w:r>
          </w:p>
          <w:p w14:paraId="1ADA7359" w14:textId="77777777" w:rsidR="00556E11" w:rsidRDefault="00556E11" w:rsidP="004619B9">
            <w:pPr>
              <w:pStyle w:val="Para013"/>
              <w:ind w:firstLine="315"/>
            </w:pPr>
            <w:r>
              <w:rPr>
                <w:rStyle w:val="03Text"/>
              </w:rPr>
              <w:t>■</w:t>
            </w:r>
            <w:r>
              <w:t>leilão.</w:t>
            </w:r>
          </w:p>
        </w:tc>
      </w:tr>
      <w:tr w:rsidR="00556E11" w:rsidRPr="00F35646" w14:paraId="5EEB84AF" w14:textId="77777777" w:rsidTr="004619B9">
        <w:trPr>
          <w:jc w:val="center"/>
        </w:trPr>
        <w:tc>
          <w:tcPr>
            <w:tcW w:w="0" w:type="auto"/>
            <w:tcBorders>
              <w:top w:val="single" w:sz="3" w:space="0" w:color="007A9A"/>
              <w:left w:val="single" w:sz="3" w:space="0" w:color="007A9A"/>
              <w:bottom w:val="single" w:sz="3" w:space="0" w:color="007A9A"/>
              <w:right w:val="single" w:sz="3" w:space="0" w:color="007A9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D1D3C9" w14:textId="77777777" w:rsidR="00556E11" w:rsidRDefault="00556E11" w:rsidP="004619B9">
            <w:pPr>
              <w:pStyle w:val="Para007"/>
              <w:ind w:firstLine="315"/>
            </w:pPr>
            <w:r>
              <w:rPr>
                <w:rStyle w:val="03Text"/>
              </w:rPr>
              <w:t>6)</w:t>
            </w:r>
            <w:r>
              <w:t xml:space="preserve"> A seguir, a extinção da fase de cumprimento de sentença.</w:t>
            </w:r>
          </w:p>
          <w:p w14:paraId="52B6B536" w14:textId="77777777" w:rsidR="00556E11" w:rsidRDefault="00556E11" w:rsidP="004619B9">
            <w:pPr>
              <w:pStyle w:val="Para007"/>
              <w:ind w:firstLine="315"/>
            </w:pPr>
            <w:r>
              <w:t>Aplicação subsidiária:</w:t>
            </w:r>
          </w:p>
          <w:p w14:paraId="4652C7BC" w14:textId="77777777" w:rsidR="00556E11" w:rsidRDefault="00556E11" w:rsidP="004619B9">
            <w:pPr>
              <w:pStyle w:val="Para013"/>
              <w:ind w:firstLine="315"/>
            </w:pPr>
            <w:r>
              <w:rPr>
                <w:rStyle w:val="03Text"/>
              </w:rPr>
              <w:t>■</w:t>
            </w:r>
            <w:r>
              <w:t>destas regras para o cumprimento provisório (Art. 527. Aplicam-se as disposições deste Capítulo ao cumprimento provisório da sentença, no que couber);</w:t>
            </w:r>
          </w:p>
          <w:p w14:paraId="70C55F72" w14:textId="77777777" w:rsidR="00556E11" w:rsidRDefault="00556E11" w:rsidP="004619B9">
            <w:pPr>
              <w:pStyle w:val="Para013"/>
              <w:ind w:firstLine="315"/>
            </w:pPr>
            <w:r>
              <w:rPr>
                <w:rStyle w:val="03Text"/>
              </w:rPr>
              <w:t>■</w:t>
            </w:r>
            <w:r>
              <w:t>das regras do processo de execução para o cumprimento de sentença (art. 513).</w:t>
            </w:r>
          </w:p>
        </w:tc>
      </w:tr>
    </w:tbl>
    <w:p w14:paraId="0C4E198D" w14:textId="77777777" w:rsidR="00556E11" w:rsidRDefault="00556E11">
      <w:pPr>
        <w:rPr>
          <w:lang w:val="pt-BR"/>
        </w:rPr>
      </w:pPr>
    </w:p>
    <w:p w14:paraId="2B36DFE2" w14:textId="77777777" w:rsidR="00993C14" w:rsidRDefault="00993C14">
      <w:pPr>
        <w:rPr>
          <w:lang w:val="pt-BR"/>
        </w:rPr>
      </w:pPr>
      <w:r>
        <w:rPr>
          <w:lang w:val="pt-BR"/>
        </w:rPr>
        <w:lastRenderedPageBreak/>
        <w:t>Embargos x impugnação: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2548"/>
        <w:gridCol w:w="2843"/>
      </w:tblGrid>
      <w:tr w:rsidR="00556E11" w14:paraId="73C7A93C" w14:textId="77777777" w:rsidTr="004619B9">
        <w:trPr>
          <w:trHeight w:val="60"/>
          <w:tblHeader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337BAA3" w14:textId="77777777" w:rsidR="00556E11" w:rsidRDefault="00556E11" w:rsidP="004619B9">
            <w:pPr>
              <w:pStyle w:val="Semestilodepargrafo"/>
              <w:spacing w:line="240" w:lineRule="auto"/>
              <w:textAlignment w:val="auto"/>
              <w:rPr>
                <w:rFonts w:ascii="TimesNewRomanPS-BoldMT" w:hAnsi="TimesNewRomanPS-BoldMT" w:cs="Times New Roman"/>
                <w:color w:val="auto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C0001BE" w14:textId="77777777" w:rsidR="00556E11" w:rsidRDefault="00556E11" w:rsidP="004619B9">
            <w:pPr>
              <w:pStyle w:val="tabela"/>
              <w:jc w:val="center"/>
            </w:pPr>
            <w:r>
              <w:rPr>
                <w:rStyle w:val="Bold"/>
                <w:bCs/>
                <w:lang w:val="pt-PT"/>
              </w:rPr>
              <w:t xml:space="preserve">Embargos </w:t>
            </w:r>
            <w:r>
              <w:rPr>
                <w:rStyle w:val="Bold"/>
                <w:rFonts w:hint="eastAsia"/>
                <w:bCs/>
                <w:lang w:val="pt-PT"/>
              </w:rPr>
              <w:t>à</w:t>
            </w:r>
            <w:r>
              <w:rPr>
                <w:rStyle w:val="Bold"/>
                <w:bCs/>
                <w:lang w:val="pt-PT"/>
              </w:rPr>
              <w:t xml:space="preserve"> execu</w:t>
            </w:r>
            <w:r>
              <w:rPr>
                <w:rStyle w:val="Bold"/>
                <w:rFonts w:ascii="Times New Roman" w:hAnsi="Times New Roman" w:cs="Times New Roman"/>
                <w:bCs/>
                <w:lang w:val="pt-PT"/>
              </w:rPr>
              <w:t>çã</w:t>
            </w:r>
            <w:r>
              <w:rPr>
                <w:rStyle w:val="Bold"/>
                <w:bCs/>
                <w:lang w:val="pt-PT"/>
              </w:rPr>
              <w:t>o</w:t>
            </w:r>
            <w:r>
              <w:rPr>
                <w:rStyle w:val="Bold"/>
                <w:bCs/>
                <w:lang w:val="pt-PT"/>
              </w:rPr>
              <w:br/>
              <w:t>(execu</w:t>
            </w:r>
            <w:r>
              <w:rPr>
                <w:rStyle w:val="Bold"/>
                <w:rFonts w:ascii="Times New Roman" w:hAnsi="Times New Roman" w:cs="Times New Roman"/>
                <w:bCs/>
                <w:lang w:val="pt-PT"/>
              </w:rPr>
              <w:t>çã</w:t>
            </w:r>
            <w:r>
              <w:rPr>
                <w:rStyle w:val="Bold"/>
                <w:bCs/>
                <w:lang w:val="pt-PT"/>
              </w:rPr>
              <w:t>o de t</w:t>
            </w:r>
            <w:r>
              <w:rPr>
                <w:rStyle w:val="Bold"/>
                <w:rFonts w:ascii="Times New Roman" w:hAnsi="Times New Roman" w:cs="Times New Roman"/>
                <w:bCs/>
                <w:lang w:val="pt-PT"/>
              </w:rPr>
              <w:t>í</w:t>
            </w:r>
            <w:r>
              <w:rPr>
                <w:rStyle w:val="Bold"/>
                <w:bCs/>
                <w:lang w:val="pt-PT"/>
              </w:rPr>
              <w:t>tulo extrajudicial)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74F99AE" w14:textId="77777777" w:rsidR="00556E11" w:rsidRDefault="00556E11" w:rsidP="004619B9">
            <w:pPr>
              <w:pStyle w:val="tabela"/>
              <w:jc w:val="center"/>
            </w:pPr>
            <w:r>
              <w:rPr>
                <w:rStyle w:val="Bold"/>
                <w:bCs/>
                <w:lang w:val="pt-PT"/>
              </w:rPr>
              <w:t>Impugna</w:t>
            </w:r>
            <w:r>
              <w:rPr>
                <w:rStyle w:val="Bold"/>
                <w:rFonts w:ascii="Times New Roman" w:hAnsi="Times New Roman" w:cs="Times New Roman"/>
                <w:bCs/>
                <w:lang w:val="pt-PT"/>
              </w:rPr>
              <w:t>çã</w:t>
            </w:r>
            <w:r>
              <w:rPr>
                <w:rStyle w:val="Bold"/>
                <w:bCs/>
                <w:lang w:val="pt-PT"/>
              </w:rPr>
              <w:t>o</w:t>
            </w:r>
            <w:r>
              <w:rPr>
                <w:rStyle w:val="Bold"/>
                <w:bCs/>
                <w:lang w:val="pt-PT"/>
              </w:rPr>
              <w:br/>
              <w:t>(cumprimento de senten</w:t>
            </w:r>
            <w:r>
              <w:rPr>
                <w:rStyle w:val="Bold"/>
                <w:rFonts w:hint="eastAsia"/>
                <w:bCs/>
                <w:lang w:val="pt-PT"/>
              </w:rPr>
              <w:t>ç</w:t>
            </w:r>
            <w:r>
              <w:rPr>
                <w:rStyle w:val="Bold"/>
                <w:bCs/>
                <w:lang w:val="pt-PT"/>
              </w:rPr>
              <w:t>a)</w:t>
            </w:r>
          </w:p>
        </w:tc>
      </w:tr>
      <w:tr w:rsidR="00556E11" w14:paraId="64871E2F" w14:textId="77777777" w:rsidTr="004619B9">
        <w:trPr>
          <w:trHeight w:val="6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B45AC2" w14:textId="77777777" w:rsidR="00556E11" w:rsidRDefault="00556E11" w:rsidP="004619B9">
            <w:pPr>
              <w:pStyle w:val="tabela"/>
              <w:jc w:val="left"/>
            </w:pPr>
            <w:r>
              <w:rPr>
                <w:rStyle w:val="Bold"/>
                <w:bCs/>
                <w:lang w:val="pt-PT"/>
              </w:rPr>
              <w:t>Prazo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0A96FA" w14:textId="77777777" w:rsidR="00556E11" w:rsidRDefault="00556E11" w:rsidP="004619B9">
            <w:pPr>
              <w:pStyle w:val="tabela"/>
              <w:jc w:val="left"/>
            </w:pPr>
            <w:r>
              <w:t xml:space="preserve">15 dias </w:t>
            </w:r>
            <w:r>
              <w:rPr>
                <w:rFonts w:ascii="Times New Roman" w:hAnsi="Times New Roman" w:cs="Times New Roman"/>
              </w:rPr>
              <w:t>ú</w:t>
            </w:r>
            <w:r>
              <w:t>teis (CPC/2015, art. 915)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4EA7C7" w14:textId="77777777" w:rsidR="00556E11" w:rsidRDefault="00556E11" w:rsidP="004619B9">
            <w:pPr>
              <w:pStyle w:val="tabela"/>
              <w:jc w:val="left"/>
            </w:pPr>
            <w:r>
              <w:t xml:space="preserve">15 dias </w:t>
            </w:r>
            <w:r>
              <w:rPr>
                <w:rFonts w:ascii="Times New Roman" w:hAnsi="Times New Roman" w:cs="Times New Roman"/>
              </w:rPr>
              <w:t>ú</w:t>
            </w:r>
            <w:r>
              <w:t>teis (CPC/2015, art. 525)</w:t>
            </w:r>
          </w:p>
        </w:tc>
      </w:tr>
      <w:tr w:rsidR="00556E11" w14:paraId="53712A06" w14:textId="77777777" w:rsidTr="004619B9">
        <w:trPr>
          <w:trHeight w:val="72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9DE750" w14:textId="77777777" w:rsidR="00556E11" w:rsidRDefault="00556E11" w:rsidP="004619B9">
            <w:pPr>
              <w:pStyle w:val="tabela"/>
              <w:jc w:val="left"/>
            </w:pPr>
            <w:r>
              <w:rPr>
                <w:rStyle w:val="Bold"/>
                <w:bCs/>
                <w:lang w:val="pt-PT"/>
              </w:rPr>
              <w:t xml:space="preserve">Contagem </w:t>
            </w:r>
            <w:r>
              <w:rPr>
                <w:rStyle w:val="Bold"/>
                <w:bCs/>
                <w:lang w:val="pt-PT"/>
              </w:rPr>
              <w:br/>
              <w:t>do prazo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BFC20C" w14:textId="77777777" w:rsidR="00556E11" w:rsidRDefault="00556E11" w:rsidP="004619B9">
            <w:pPr>
              <w:pStyle w:val="tabela"/>
              <w:jc w:val="left"/>
            </w:pPr>
            <w:r>
              <w:t>Contado da juntada aos autos do mandado de cita</w:t>
            </w:r>
            <w:r>
              <w:rPr>
                <w:rFonts w:ascii="Times New Roman" w:hAnsi="Times New Roman" w:cs="Times New Roman"/>
              </w:rPr>
              <w:t>çã</w:t>
            </w:r>
            <w:r>
              <w:t>o ou da juntada do AR (CPC/2015, arts. 915 e 231)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844C55" w14:textId="77777777" w:rsidR="00556E11" w:rsidRDefault="00556E11" w:rsidP="004619B9">
            <w:pPr>
              <w:pStyle w:val="tabela"/>
              <w:jc w:val="left"/>
            </w:pPr>
            <w:r>
              <w:t xml:space="preserve">Contado do transcurso do prazo de 15 dias </w:t>
            </w:r>
            <w:r>
              <w:rPr>
                <w:rFonts w:ascii="Times New Roman" w:hAnsi="Times New Roman" w:cs="Times New Roman"/>
              </w:rPr>
              <w:t>ú</w:t>
            </w:r>
            <w:r>
              <w:t>teis para pagamento volunt</w:t>
            </w:r>
            <w:r>
              <w:rPr>
                <w:rFonts w:ascii="Times New Roman" w:hAnsi="Times New Roman" w:cs="Times New Roman"/>
              </w:rPr>
              <w:t>á</w:t>
            </w:r>
            <w:r>
              <w:t>rio (CPC/2015, arts. 525 e 523)</w:t>
            </w:r>
          </w:p>
        </w:tc>
      </w:tr>
      <w:tr w:rsidR="00556E11" w14:paraId="7F476A4B" w14:textId="77777777" w:rsidTr="004619B9">
        <w:trPr>
          <w:trHeight w:val="593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661D85" w14:textId="77777777" w:rsidR="00556E11" w:rsidRDefault="00556E11" w:rsidP="004619B9">
            <w:pPr>
              <w:pStyle w:val="tabela"/>
              <w:jc w:val="left"/>
            </w:pPr>
            <w:r>
              <w:rPr>
                <w:rStyle w:val="Bold"/>
                <w:bCs/>
                <w:lang w:val="pt-PT"/>
              </w:rPr>
              <w:t>Necessidade de penhora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873C06" w14:textId="77777777" w:rsidR="00556E11" w:rsidRDefault="00556E11" w:rsidP="004619B9">
            <w:pPr>
              <w:pStyle w:val="tabela"/>
              <w:jc w:val="left"/>
            </w:pPr>
            <w:r>
              <w:t>N</w:t>
            </w:r>
            <w:r>
              <w:rPr>
                <w:rFonts w:ascii="Times New Roman" w:hAnsi="Times New Roman" w:cs="Times New Roman"/>
              </w:rPr>
              <w:t>ã</w:t>
            </w:r>
            <w:r>
              <w:t>o</w:t>
            </w:r>
          </w:p>
          <w:p w14:paraId="5616A1AC" w14:textId="77777777" w:rsidR="00556E11" w:rsidRDefault="00556E11" w:rsidP="004619B9">
            <w:pPr>
              <w:pStyle w:val="tabela"/>
              <w:jc w:val="left"/>
            </w:pPr>
            <w:r>
              <w:t>(CPC/2015, art. 914)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45281D" w14:textId="77777777" w:rsidR="00556E11" w:rsidRDefault="00556E11" w:rsidP="004619B9">
            <w:pPr>
              <w:pStyle w:val="tabela"/>
              <w:jc w:val="left"/>
            </w:pPr>
            <w:r>
              <w:t>N</w:t>
            </w:r>
            <w:r>
              <w:rPr>
                <w:rFonts w:ascii="Times New Roman" w:hAnsi="Times New Roman" w:cs="Times New Roman"/>
              </w:rPr>
              <w:t>ã</w:t>
            </w:r>
            <w:r>
              <w:t>o</w:t>
            </w:r>
          </w:p>
          <w:p w14:paraId="2120B834" w14:textId="77777777" w:rsidR="00556E11" w:rsidRDefault="00556E11" w:rsidP="004619B9">
            <w:pPr>
              <w:pStyle w:val="tabela"/>
              <w:jc w:val="left"/>
            </w:pPr>
            <w:r>
              <w:t>(CPC/2015, art. 525)</w:t>
            </w:r>
          </w:p>
        </w:tc>
      </w:tr>
      <w:tr w:rsidR="00556E11" w:rsidRPr="00F35646" w14:paraId="55EE2E8A" w14:textId="77777777" w:rsidTr="004619B9">
        <w:trPr>
          <w:trHeight w:val="340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C5C36B" w14:textId="77777777" w:rsidR="00556E11" w:rsidRDefault="00556E11" w:rsidP="004619B9">
            <w:pPr>
              <w:pStyle w:val="tabela"/>
              <w:jc w:val="left"/>
            </w:pPr>
            <w:r>
              <w:rPr>
                <w:rStyle w:val="Bold"/>
                <w:bCs/>
                <w:lang w:val="pt-PT"/>
              </w:rPr>
              <w:t xml:space="preserve">Efeito </w:t>
            </w:r>
            <w:r>
              <w:rPr>
                <w:rStyle w:val="Bold"/>
                <w:bCs/>
                <w:lang w:val="pt-PT"/>
              </w:rPr>
              <w:br/>
              <w:t>suspensivo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E6C998" w14:textId="77777777" w:rsidR="00556E11" w:rsidRDefault="00556E11" w:rsidP="004619B9">
            <w:pPr>
              <w:pStyle w:val="tabela"/>
              <w:jc w:val="left"/>
            </w:pPr>
            <w:r>
              <w:t>Em regra, n</w:t>
            </w:r>
            <w:r>
              <w:rPr>
                <w:rFonts w:ascii="Times New Roman" w:hAnsi="Times New Roman" w:cs="Times New Roman"/>
              </w:rPr>
              <w:t>ã</w:t>
            </w:r>
            <w:r>
              <w:t>o (CPC/2015, art. 919).</w:t>
            </w:r>
          </w:p>
          <w:p w14:paraId="12D0B173" w14:textId="77777777" w:rsidR="00556E11" w:rsidRDefault="00556E11" w:rsidP="004619B9">
            <w:pPr>
              <w:pStyle w:val="tabela"/>
              <w:jc w:val="left"/>
            </w:pPr>
            <w:r>
              <w:t>Para concess</w:t>
            </w:r>
            <w:r>
              <w:rPr>
                <w:rFonts w:ascii="Times New Roman" w:hAnsi="Times New Roman" w:cs="Times New Roman"/>
              </w:rPr>
              <w:t>ã</w:t>
            </w:r>
            <w:r>
              <w:t xml:space="preserve">o (art. 919, </w:t>
            </w:r>
            <w:r>
              <w:rPr>
                <w:rFonts w:hint="eastAsia"/>
              </w:rPr>
              <w:t>§</w:t>
            </w:r>
            <w:r>
              <w:t xml:space="preserve"> 1</w:t>
            </w:r>
            <w:r>
              <w:rPr>
                <w:rFonts w:hint="eastAsia"/>
              </w:rPr>
              <w:t>º</w:t>
            </w:r>
            <w:r>
              <w:t>):</w:t>
            </w:r>
          </w:p>
          <w:p w14:paraId="6B344B76" w14:textId="77777777" w:rsidR="00556E11" w:rsidRDefault="00556E11" w:rsidP="004619B9">
            <w:pPr>
              <w:pStyle w:val="tabela"/>
              <w:jc w:val="left"/>
            </w:pPr>
            <w:r>
              <w:t>(i) garantia do ju</w:t>
            </w:r>
            <w:r>
              <w:rPr>
                <w:rFonts w:ascii="Times New Roman" w:hAnsi="Times New Roman" w:cs="Times New Roman"/>
              </w:rPr>
              <w:t>í</w:t>
            </w:r>
            <w:r>
              <w:t>zo pela penhora;</w:t>
            </w:r>
          </w:p>
          <w:p w14:paraId="503FE108" w14:textId="77777777" w:rsidR="00556E11" w:rsidRDefault="00556E11" w:rsidP="004619B9">
            <w:pPr>
              <w:pStyle w:val="tabela"/>
              <w:jc w:val="left"/>
            </w:pPr>
            <w:r>
              <w:t>(ii) verificados os requisitos para a concess</w:t>
            </w:r>
            <w:r>
              <w:rPr>
                <w:rFonts w:ascii="Times New Roman" w:hAnsi="Times New Roman" w:cs="Times New Roman"/>
              </w:rPr>
              <w:t>ã</w:t>
            </w:r>
            <w:r>
              <w:t>o da tutela provis</w:t>
            </w:r>
            <w:r>
              <w:rPr>
                <w:rFonts w:ascii="Times New Roman" w:hAnsi="Times New Roman" w:cs="Times New Roman"/>
              </w:rPr>
              <w:t>ó</w:t>
            </w:r>
            <w:r>
              <w:t>ria.</w:t>
            </w:r>
          </w:p>
          <w:p w14:paraId="3DA8D0CA" w14:textId="77777777" w:rsidR="00556E11" w:rsidRDefault="00556E11" w:rsidP="004619B9">
            <w:pPr>
              <w:pStyle w:val="tabela"/>
              <w:jc w:val="left"/>
            </w:pPr>
          </w:p>
          <w:p w14:paraId="105EA9E8" w14:textId="77777777" w:rsidR="00556E11" w:rsidRDefault="00556E11" w:rsidP="004619B9">
            <w:pPr>
              <w:pStyle w:val="tabela"/>
              <w:jc w:val="left"/>
            </w:pPr>
            <w:r>
              <w:t>* S</w:t>
            </w:r>
            <w:r>
              <w:rPr>
                <w:rFonts w:ascii="Times New Roman" w:hAnsi="Times New Roman" w:cs="Times New Roman"/>
              </w:rPr>
              <w:t>ã</w:t>
            </w:r>
            <w:r>
              <w:t>o requisitos da tutela provis</w:t>
            </w:r>
            <w:r>
              <w:rPr>
                <w:rFonts w:ascii="Times New Roman" w:hAnsi="Times New Roman" w:cs="Times New Roman"/>
              </w:rPr>
              <w:t>ó</w:t>
            </w:r>
            <w:r>
              <w:t>ria de urg</w:t>
            </w:r>
            <w:r>
              <w:rPr>
                <w:rFonts w:hint="eastAsia"/>
              </w:rPr>
              <w:t>ê</w:t>
            </w:r>
            <w:r>
              <w:t xml:space="preserve">ncia (art. 300): (a) probabilidade do direito e (b) o perigo de dano ou o risco ao resultado </w:t>
            </w:r>
            <w:r>
              <w:rPr>
                <w:rFonts w:ascii="Times New Roman" w:hAnsi="Times New Roman" w:cs="Times New Roman"/>
              </w:rPr>
              <w:t>ú</w:t>
            </w:r>
            <w:r>
              <w:t>til do processo.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A8D890" w14:textId="77777777" w:rsidR="00556E11" w:rsidRDefault="00556E11" w:rsidP="004619B9">
            <w:pPr>
              <w:pStyle w:val="tabela"/>
              <w:jc w:val="left"/>
            </w:pPr>
            <w:r>
              <w:t>Em regra, n</w:t>
            </w:r>
            <w:r>
              <w:rPr>
                <w:rFonts w:ascii="Times New Roman" w:hAnsi="Times New Roman" w:cs="Times New Roman"/>
              </w:rPr>
              <w:t>ã</w:t>
            </w:r>
            <w:r>
              <w:t xml:space="preserve">o (CPC/2015, art. 525, </w:t>
            </w:r>
            <w:r>
              <w:rPr>
                <w:rFonts w:hint="eastAsia"/>
              </w:rPr>
              <w:t>§</w:t>
            </w:r>
            <w:r>
              <w:t xml:space="preserve"> 6</w:t>
            </w:r>
            <w:r>
              <w:rPr>
                <w:rFonts w:hint="eastAsia"/>
              </w:rPr>
              <w:t>º</w:t>
            </w:r>
            <w:r>
              <w:t>).</w:t>
            </w:r>
          </w:p>
          <w:p w14:paraId="5A88D764" w14:textId="77777777" w:rsidR="00556E11" w:rsidRDefault="00556E11" w:rsidP="004619B9">
            <w:pPr>
              <w:pStyle w:val="tabela"/>
              <w:jc w:val="left"/>
            </w:pPr>
            <w:r>
              <w:t>Para concess</w:t>
            </w:r>
            <w:r>
              <w:rPr>
                <w:rFonts w:ascii="Times New Roman" w:hAnsi="Times New Roman" w:cs="Times New Roman"/>
              </w:rPr>
              <w:t>ã</w:t>
            </w:r>
            <w:r>
              <w:t>o:</w:t>
            </w:r>
          </w:p>
          <w:p w14:paraId="4EBBF151" w14:textId="77777777" w:rsidR="00556E11" w:rsidRDefault="00556E11" w:rsidP="004619B9">
            <w:pPr>
              <w:pStyle w:val="tabela"/>
              <w:jc w:val="left"/>
            </w:pPr>
            <w:r>
              <w:t>(i) garantia do ju</w:t>
            </w:r>
            <w:r>
              <w:rPr>
                <w:rFonts w:ascii="Times New Roman" w:hAnsi="Times New Roman" w:cs="Times New Roman"/>
              </w:rPr>
              <w:t>í</w:t>
            </w:r>
            <w:r>
              <w:t>zo pela penhora;</w:t>
            </w:r>
          </w:p>
          <w:p w14:paraId="1B259009" w14:textId="77777777" w:rsidR="00556E11" w:rsidRDefault="00556E11" w:rsidP="004619B9">
            <w:pPr>
              <w:pStyle w:val="tabela"/>
              <w:jc w:val="left"/>
            </w:pPr>
            <w:r>
              <w:t>(ii) fundamentos relevantes da impugna</w:t>
            </w:r>
            <w:r>
              <w:rPr>
                <w:rFonts w:ascii="Times New Roman" w:hAnsi="Times New Roman" w:cs="Times New Roman"/>
              </w:rPr>
              <w:t>çã</w:t>
            </w:r>
            <w:r>
              <w:t>o;</w:t>
            </w:r>
          </w:p>
          <w:p w14:paraId="0B137A6C" w14:textId="77777777" w:rsidR="00556E11" w:rsidRDefault="00556E11" w:rsidP="004619B9">
            <w:pPr>
              <w:pStyle w:val="tabela"/>
              <w:jc w:val="left"/>
            </w:pPr>
            <w:r>
              <w:t>(iii) prosseguimento da execu</w:t>
            </w:r>
            <w:r>
              <w:rPr>
                <w:rFonts w:ascii="Times New Roman" w:hAnsi="Times New Roman" w:cs="Times New Roman"/>
              </w:rPr>
              <w:t>çã</w:t>
            </w:r>
            <w:r>
              <w:t>o for capaz de causar gravo dano de dif</w:t>
            </w:r>
            <w:r>
              <w:rPr>
                <w:rFonts w:ascii="Times New Roman" w:hAnsi="Times New Roman" w:cs="Times New Roman"/>
              </w:rPr>
              <w:t>í</w:t>
            </w:r>
            <w:r>
              <w:t>cil ou incerta repara</w:t>
            </w:r>
            <w:r>
              <w:rPr>
                <w:rFonts w:ascii="Times New Roman" w:hAnsi="Times New Roman" w:cs="Times New Roman"/>
              </w:rPr>
              <w:t>çã</w:t>
            </w:r>
            <w:r>
              <w:t>o.</w:t>
            </w:r>
          </w:p>
          <w:p w14:paraId="054C29D9" w14:textId="77777777" w:rsidR="00556E11" w:rsidRDefault="00556E11" w:rsidP="004619B9">
            <w:pPr>
              <w:pStyle w:val="tabela"/>
              <w:jc w:val="left"/>
            </w:pPr>
            <w:r>
              <w:t>* Assim, os requisitos para a concess</w:t>
            </w:r>
            <w:r>
              <w:rPr>
                <w:rFonts w:ascii="Times New Roman" w:hAnsi="Times New Roman" w:cs="Times New Roman"/>
              </w:rPr>
              <w:t>ã</w:t>
            </w:r>
            <w:r>
              <w:t xml:space="preserve">o do efeito suspensivo </w:t>
            </w:r>
            <w:r>
              <w:rPr>
                <w:rStyle w:val="Itlico"/>
                <w:iCs/>
                <w:lang w:val="pt-PT"/>
              </w:rPr>
              <w:t>s</w:t>
            </w:r>
            <w:r>
              <w:rPr>
                <w:rStyle w:val="Itlico"/>
                <w:rFonts w:ascii="Times New Roman" w:hAnsi="Times New Roman" w:cs="Times New Roman"/>
                <w:iCs/>
                <w:lang w:val="pt-PT"/>
              </w:rPr>
              <w:t>ã</w:t>
            </w:r>
            <w:r>
              <w:rPr>
                <w:rStyle w:val="Itlico"/>
                <w:iCs/>
                <w:lang w:val="pt-PT"/>
              </w:rPr>
              <w:t>o os mesmos</w:t>
            </w:r>
            <w:r>
              <w:t>, nos embargos e impugna</w:t>
            </w:r>
            <w:r>
              <w:rPr>
                <w:rFonts w:ascii="Times New Roman" w:hAnsi="Times New Roman" w:cs="Times New Roman"/>
              </w:rPr>
              <w:t>çã</w:t>
            </w:r>
            <w:r>
              <w:t>o, ainda que o legislador tenha dito isso, infelizmente, de forma distinta.</w:t>
            </w:r>
          </w:p>
        </w:tc>
      </w:tr>
      <w:tr w:rsidR="00556E11" w14:paraId="4A93B87C" w14:textId="77777777" w:rsidTr="004619B9">
        <w:trPr>
          <w:trHeight w:val="6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D7C53A1" w14:textId="77777777" w:rsidR="00556E11" w:rsidRDefault="00556E11" w:rsidP="004619B9">
            <w:pPr>
              <w:pStyle w:val="tabela"/>
              <w:jc w:val="left"/>
            </w:pPr>
            <w:r>
              <w:rPr>
                <w:rStyle w:val="Bold"/>
                <w:bCs/>
                <w:lang w:val="pt-PT"/>
              </w:rPr>
              <w:t>Autua</w:t>
            </w:r>
            <w:r>
              <w:rPr>
                <w:rStyle w:val="Bold"/>
                <w:rFonts w:ascii="Times New Roman" w:hAnsi="Times New Roman" w:cs="Times New Roman"/>
                <w:bCs/>
                <w:lang w:val="pt-PT"/>
              </w:rPr>
              <w:t>çã</w:t>
            </w:r>
            <w:r>
              <w:rPr>
                <w:rStyle w:val="Bold"/>
                <w:bCs/>
                <w:lang w:val="pt-PT"/>
              </w:rPr>
              <w:t>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5A105C2" w14:textId="77777777" w:rsidR="00556E11" w:rsidRDefault="00556E11" w:rsidP="004619B9">
            <w:pPr>
              <w:pStyle w:val="tabela"/>
              <w:jc w:val="left"/>
            </w:pPr>
            <w:r>
              <w:t xml:space="preserve">Em apartado </w:t>
            </w:r>
          </w:p>
          <w:p w14:paraId="5D6694C7" w14:textId="77777777" w:rsidR="00556E11" w:rsidRDefault="00556E11" w:rsidP="004619B9">
            <w:pPr>
              <w:pStyle w:val="tabela"/>
              <w:jc w:val="left"/>
            </w:pPr>
            <w:r>
              <w:t xml:space="preserve">(CPC/2015, art. 914, </w:t>
            </w:r>
            <w:r>
              <w:rPr>
                <w:rFonts w:hint="eastAsia"/>
              </w:rPr>
              <w:t>§</w:t>
            </w:r>
            <w:r>
              <w:t xml:space="preserve"> 1</w:t>
            </w:r>
            <w:r>
              <w:rPr>
                <w:rFonts w:hint="eastAsia"/>
              </w:rPr>
              <w:t>º</w:t>
            </w:r>
            <w:r>
              <w:t>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3668410" w14:textId="77777777" w:rsidR="00556E11" w:rsidRDefault="00556E11" w:rsidP="004619B9">
            <w:pPr>
              <w:pStyle w:val="tabela"/>
              <w:jc w:val="left"/>
            </w:pPr>
            <w:r>
              <w:t>Nos mesmos autos do cumprimento de senten</w:t>
            </w:r>
            <w:r>
              <w:rPr>
                <w:rFonts w:hint="eastAsia"/>
              </w:rPr>
              <w:t>ç</w:t>
            </w:r>
            <w:r>
              <w:t>a</w:t>
            </w:r>
          </w:p>
          <w:p w14:paraId="4EE5379F" w14:textId="77777777" w:rsidR="00556E11" w:rsidRDefault="00556E11" w:rsidP="004619B9">
            <w:pPr>
              <w:pStyle w:val="tabela"/>
              <w:jc w:val="left"/>
            </w:pPr>
            <w:r>
              <w:t xml:space="preserve">(CPC/2015, art. 525, </w:t>
            </w:r>
            <w:r>
              <w:rPr>
                <w:rStyle w:val="Itlico"/>
                <w:iCs/>
                <w:lang w:val="pt-PT"/>
              </w:rPr>
              <w:t>caput</w:t>
            </w:r>
            <w:r>
              <w:t xml:space="preserve"> e </w:t>
            </w:r>
            <w:r>
              <w:rPr>
                <w:rFonts w:hint="eastAsia"/>
              </w:rPr>
              <w:t>§</w:t>
            </w:r>
            <w:r>
              <w:t xml:space="preserve"> 10)</w:t>
            </w:r>
          </w:p>
        </w:tc>
      </w:tr>
      <w:tr w:rsidR="00556E11" w:rsidRPr="00F35646" w14:paraId="392944A7" w14:textId="77777777" w:rsidTr="004619B9">
        <w:trPr>
          <w:trHeight w:val="6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0195234" w14:textId="77777777" w:rsidR="00556E11" w:rsidRDefault="00556E11" w:rsidP="004619B9">
            <w:pPr>
              <w:pStyle w:val="tabela"/>
              <w:jc w:val="left"/>
            </w:pPr>
            <w:r>
              <w:rPr>
                <w:rStyle w:val="Bold"/>
                <w:bCs/>
                <w:lang w:val="pt-PT"/>
              </w:rPr>
              <w:t>Mat</w:t>
            </w:r>
            <w:r>
              <w:rPr>
                <w:rStyle w:val="Bold"/>
                <w:rFonts w:hint="eastAsia"/>
                <w:bCs/>
                <w:lang w:val="pt-PT"/>
              </w:rPr>
              <w:t>é</w:t>
            </w:r>
            <w:r>
              <w:rPr>
                <w:rStyle w:val="Bold"/>
                <w:bCs/>
                <w:lang w:val="pt-PT"/>
              </w:rPr>
              <w:t>rias de defesa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673509D" w14:textId="77777777" w:rsidR="00556E11" w:rsidRDefault="00556E11" w:rsidP="004619B9">
            <w:pPr>
              <w:pStyle w:val="tabela"/>
              <w:jc w:val="left"/>
            </w:pPr>
            <w:r>
              <w:t>Qualquer mat</w:t>
            </w:r>
            <w:r>
              <w:rPr>
                <w:rFonts w:hint="eastAsia"/>
              </w:rPr>
              <w:t>é</w:t>
            </w:r>
            <w:r>
              <w:t>ria, j</w:t>
            </w:r>
            <w:r>
              <w:rPr>
                <w:rFonts w:ascii="Times New Roman" w:hAnsi="Times New Roman" w:cs="Times New Roman"/>
              </w:rPr>
              <w:t>á</w:t>
            </w:r>
            <w:r>
              <w:t xml:space="preserve"> que n</w:t>
            </w:r>
            <w:r>
              <w:rPr>
                <w:rFonts w:ascii="Times New Roman" w:hAnsi="Times New Roman" w:cs="Times New Roman"/>
              </w:rPr>
              <w:t>ã</w:t>
            </w:r>
            <w:r>
              <w:t>o houve pr</w:t>
            </w:r>
            <w:r>
              <w:rPr>
                <w:rFonts w:hint="eastAsia"/>
              </w:rPr>
              <w:t>é</w:t>
            </w:r>
            <w:r>
              <w:t>via manifesta</w:t>
            </w:r>
            <w:r>
              <w:rPr>
                <w:rFonts w:ascii="Times New Roman" w:hAnsi="Times New Roman" w:cs="Times New Roman"/>
              </w:rPr>
              <w:t>çã</w:t>
            </w:r>
            <w:r>
              <w:t>o do Poder Judici</w:t>
            </w:r>
            <w:r>
              <w:rPr>
                <w:rFonts w:ascii="Times New Roman" w:hAnsi="Times New Roman" w:cs="Times New Roman"/>
              </w:rPr>
              <w:t>á</w:t>
            </w:r>
            <w:r>
              <w:t>rio (CPC/2015, art. 917, VI)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0E84199" w14:textId="77777777" w:rsidR="00556E11" w:rsidRDefault="00556E11" w:rsidP="004619B9">
            <w:pPr>
              <w:pStyle w:val="tabela"/>
              <w:jc w:val="left"/>
            </w:pPr>
            <w:r>
              <w:t>Mat</w:t>
            </w:r>
            <w:r>
              <w:rPr>
                <w:rFonts w:hint="eastAsia"/>
              </w:rPr>
              <w:t>é</w:t>
            </w:r>
            <w:r>
              <w:t>rias espec</w:t>
            </w:r>
            <w:r>
              <w:rPr>
                <w:rFonts w:ascii="Times New Roman" w:hAnsi="Times New Roman" w:cs="Times New Roman"/>
              </w:rPr>
              <w:t>í</w:t>
            </w:r>
            <w:r>
              <w:t xml:space="preserve">ficas (CPC/2015, art. 525, </w:t>
            </w:r>
            <w:r>
              <w:rPr>
                <w:rFonts w:hint="eastAsia"/>
              </w:rPr>
              <w:t>§</w:t>
            </w:r>
            <w:r>
              <w:t xml:space="preserve"> 1</w:t>
            </w:r>
            <w:r>
              <w:rPr>
                <w:rFonts w:hint="eastAsia"/>
              </w:rPr>
              <w:t>º</w:t>
            </w:r>
            <w:r>
              <w:t>), considerando que j</w:t>
            </w:r>
            <w:r>
              <w:rPr>
                <w:rFonts w:ascii="Times New Roman" w:hAnsi="Times New Roman" w:cs="Times New Roman"/>
              </w:rPr>
              <w:t>á</w:t>
            </w:r>
            <w:r>
              <w:t xml:space="preserve"> houve manifesta</w:t>
            </w:r>
            <w:r>
              <w:rPr>
                <w:rFonts w:ascii="Times New Roman" w:hAnsi="Times New Roman" w:cs="Times New Roman"/>
              </w:rPr>
              <w:t>çã</w:t>
            </w:r>
            <w:r>
              <w:t>o do Judici</w:t>
            </w:r>
            <w:r>
              <w:rPr>
                <w:rFonts w:ascii="Times New Roman" w:hAnsi="Times New Roman" w:cs="Times New Roman"/>
              </w:rPr>
              <w:t>á</w:t>
            </w:r>
            <w:r>
              <w:t xml:space="preserve">rio (respeito </w:t>
            </w:r>
            <w:r>
              <w:rPr>
                <w:rFonts w:hint="eastAsia"/>
              </w:rPr>
              <w:t>à</w:t>
            </w:r>
            <w:r>
              <w:t xml:space="preserve"> coisa julgada)</w:t>
            </w:r>
          </w:p>
        </w:tc>
      </w:tr>
      <w:tr w:rsidR="00556E11" w:rsidRPr="00F35646" w14:paraId="60BCD68C" w14:textId="77777777" w:rsidTr="004619B9">
        <w:trPr>
          <w:trHeight w:val="129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F3B8BBD" w14:textId="77777777" w:rsidR="00556E11" w:rsidRDefault="00556E11" w:rsidP="004619B9">
            <w:pPr>
              <w:pStyle w:val="tabela"/>
              <w:jc w:val="left"/>
            </w:pPr>
            <w:r>
              <w:rPr>
                <w:rStyle w:val="Bold"/>
                <w:bCs/>
                <w:lang w:val="pt-PT"/>
              </w:rPr>
              <w:t>Recurso cab</w:t>
            </w:r>
            <w:r>
              <w:rPr>
                <w:rStyle w:val="Bold"/>
                <w:rFonts w:ascii="Times New Roman" w:hAnsi="Times New Roman" w:cs="Times New Roman"/>
                <w:bCs/>
                <w:lang w:val="pt-PT"/>
              </w:rPr>
              <w:t>í</w:t>
            </w:r>
            <w:r>
              <w:rPr>
                <w:rStyle w:val="Bold"/>
                <w:bCs/>
                <w:lang w:val="pt-PT"/>
              </w:rPr>
              <w:t>vel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A6CC008" w14:textId="77777777" w:rsidR="00556E11" w:rsidRDefault="00556E11" w:rsidP="004619B9">
            <w:pPr>
              <w:pStyle w:val="tabela"/>
              <w:jc w:val="left"/>
            </w:pPr>
            <w:r>
              <w:t>Apela</w:t>
            </w:r>
            <w:r>
              <w:rPr>
                <w:rFonts w:ascii="Times New Roman" w:hAnsi="Times New Roman" w:cs="Times New Roman"/>
              </w:rPr>
              <w:t>çã</w:t>
            </w:r>
            <w:r>
              <w:t>o (CPC/2015, art. 1.009)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6149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90FBBD0" w14:textId="77777777" w:rsidR="00556E11" w:rsidRDefault="00556E11" w:rsidP="004619B9">
            <w:pPr>
              <w:pStyle w:val="tabela"/>
              <w:jc w:val="left"/>
            </w:pPr>
            <w:r>
              <w:t>Apela</w:t>
            </w:r>
            <w:r>
              <w:rPr>
                <w:rFonts w:ascii="Times New Roman" w:hAnsi="Times New Roman" w:cs="Times New Roman"/>
              </w:rPr>
              <w:t>çã</w:t>
            </w:r>
            <w:r>
              <w:t>o, se a fase de cumprimento n</w:t>
            </w:r>
            <w:r>
              <w:rPr>
                <w:rFonts w:ascii="Times New Roman" w:hAnsi="Times New Roman" w:cs="Times New Roman"/>
              </w:rPr>
              <w:t>ã</w:t>
            </w:r>
            <w:r>
              <w:t>o prosseguir (CPC/2015, art. 1.009)</w:t>
            </w:r>
          </w:p>
          <w:p w14:paraId="5BA4EA49" w14:textId="77777777" w:rsidR="00556E11" w:rsidRDefault="00556E11" w:rsidP="004619B9">
            <w:pPr>
              <w:pStyle w:val="tabela"/>
              <w:jc w:val="left"/>
            </w:pPr>
            <w:r>
              <w:t>Agravo de instrumento, se a fase de cumprimento prosseguir (CPC/2015, art. 1.015, par</w:t>
            </w:r>
            <w:r>
              <w:rPr>
                <w:rFonts w:ascii="Times New Roman" w:hAnsi="Times New Roman" w:cs="Times New Roman"/>
              </w:rPr>
              <w:t>á</w:t>
            </w:r>
            <w:r>
              <w:t xml:space="preserve">grafo </w:t>
            </w:r>
            <w:r>
              <w:rPr>
                <w:rFonts w:ascii="Times New Roman" w:hAnsi="Times New Roman" w:cs="Times New Roman"/>
              </w:rPr>
              <w:t>ú</w:t>
            </w:r>
            <w:r>
              <w:t>nico)</w:t>
            </w:r>
          </w:p>
        </w:tc>
      </w:tr>
    </w:tbl>
    <w:p w14:paraId="477FA581" w14:textId="77777777" w:rsidR="00556E11" w:rsidRPr="002C37A3" w:rsidRDefault="00556E11" w:rsidP="00556E11">
      <w:pPr>
        <w:pStyle w:val="NoParagraphStyle"/>
        <w:jc w:val="center"/>
        <w:rPr>
          <w:sz w:val="23"/>
          <w:szCs w:val="23"/>
          <w:lang w:val="pt-BR"/>
        </w:rPr>
      </w:pPr>
    </w:p>
    <w:p w14:paraId="06FD2E3E" w14:textId="77777777" w:rsidR="00556E11" w:rsidRDefault="00556E11">
      <w:pPr>
        <w:rPr>
          <w:lang w:val="pt-BR"/>
        </w:rPr>
      </w:pPr>
    </w:p>
    <w:p w14:paraId="39E3B4F9" w14:textId="77777777" w:rsidR="00556E11" w:rsidRPr="00556E11" w:rsidRDefault="00556E11">
      <w:pPr>
        <w:rPr>
          <w:lang w:val="pt-BR"/>
        </w:rPr>
      </w:pPr>
    </w:p>
    <w:sectPr w:rsidR="00556E11" w:rsidRPr="0055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11"/>
    <w:rsid w:val="002E45E7"/>
    <w:rsid w:val="00322404"/>
    <w:rsid w:val="004D3ABE"/>
    <w:rsid w:val="00556E11"/>
    <w:rsid w:val="00993C14"/>
    <w:rsid w:val="00F35646"/>
    <w:rsid w:val="00F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4174"/>
  <w15:chartTrackingRefBased/>
  <w15:docId w15:val="{D0798BC0-6463-4FDF-A64C-46704F30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6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E11"/>
    <w:rPr>
      <w:rFonts w:ascii="Segoe UI" w:hAnsi="Segoe UI" w:cs="Segoe UI"/>
      <w:sz w:val="18"/>
      <w:szCs w:val="18"/>
    </w:rPr>
  </w:style>
  <w:style w:type="paragraph" w:customStyle="1" w:styleId="Para007">
    <w:name w:val="Para 007"/>
    <w:basedOn w:val="Normal"/>
    <w:qFormat/>
    <w:rsid w:val="00556E11"/>
    <w:pPr>
      <w:spacing w:after="0" w:line="302" w:lineRule="atLeast"/>
      <w:ind w:firstLineChars="150" w:firstLine="150"/>
    </w:pPr>
    <w:rPr>
      <w:rFonts w:ascii="Cambria" w:eastAsia="Cambria" w:hAnsi="Cambria" w:cs="Cambria"/>
      <w:color w:val="000000"/>
      <w:sz w:val="21"/>
      <w:szCs w:val="21"/>
      <w:lang w:val="pt" w:eastAsia="pt"/>
    </w:rPr>
  </w:style>
  <w:style w:type="paragraph" w:customStyle="1" w:styleId="Para013">
    <w:name w:val="Para 013"/>
    <w:basedOn w:val="Normal"/>
    <w:qFormat/>
    <w:rsid w:val="00556E11"/>
    <w:pPr>
      <w:spacing w:after="0" w:line="302" w:lineRule="atLeast"/>
      <w:ind w:left="76" w:firstLineChars="150" w:firstLine="150"/>
    </w:pPr>
    <w:rPr>
      <w:rFonts w:ascii="Cambria" w:eastAsia="Cambria" w:hAnsi="Cambria" w:cs="Cambria"/>
      <w:color w:val="000000"/>
      <w:sz w:val="21"/>
      <w:szCs w:val="21"/>
      <w:lang w:val="pt" w:eastAsia="pt"/>
    </w:rPr>
  </w:style>
  <w:style w:type="paragraph" w:customStyle="1" w:styleId="Para018">
    <w:name w:val="Para 018"/>
    <w:basedOn w:val="Normal"/>
    <w:qFormat/>
    <w:rsid w:val="00556E11"/>
    <w:pPr>
      <w:spacing w:after="0" w:line="302" w:lineRule="atLeast"/>
      <w:ind w:firstLineChars="150" w:firstLine="150"/>
    </w:pPr>
    <w:rPr>
      <w:rFonts w:ascii="Cambria" w:eastAsia="Cambria" w:hAnsi="Cambria" w:cs="Cambria"/>
      <w:color w:val="007A9A"/>
      <w:sz w:val="21"/>
      <w:szCs w:val="21"/>
      <w:lang w:val="pt" w:eastAsia="pt"/>
    </w:rPr>
  </w:style>
  <w:style w:type="character" w:customStyle="1" w:styleId="03Text">
    <w:name w:val="03 Text"/>
    <w:rsid w:val="00556E11"/>
    <w:rPr>
      <w:color w:val="007A9A"/>
    </w:rPr>
  </w:style>
  <w:style w:type="character" w:customStyle="1" w:styleId="07Text">
    <w:name w:val="07 Text"/>
    <w:rsid w:val="00556E11"/>
    <w:rPr>
      <w:color w:val="000000"/>
    </w:rPr>
  </w:style>
  <w:style w:type="paragraph" w:customStyle="1" w:styleId="Semestilodepargrafo">
    <w:name w:val="[Sem estilo de parágrafo]"/>
    <w:rsid w:val="00556E1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sz w:val="24"/>
      <w:szCs w:val="24"/>
      <w:lang w:val="pt-BR" w:eastAsia="pt-BR"/>
    </w:rPr>
  </w:style>
  <w:style w:type="paragraph" w:customStyle="1" w:styleId="NoParagraphStyle">
    <w:name w:val="[No Paragraph Style]"/>
    <w:basedOn w:val="Semestilodepargrafo"/>
    <w:uiPriority w:val="99"/>
    <w:rsid w:val="00556E11"/>
    <w:pPr>
      <w:suppressAutoHyphens/>
    </w:pPr>
    <w:rPr>
      <w:lang w:val="en-GB"/>
    </w:rPr>
  </w:style>
  <w:style w:type="paragraph" w:customStyle="1" w:styleId="tabela">
    <w:name w:val="tabela"/>
    <w:basedOn w:val="Normal"/>
    <w:uiPriority w:val="99"/>
    <w:rsid w:val="00556E11"/>
    <w:pPr>
      <w:widowControl w:val="0"/>
      <w:autoSpaceDE w:val="0"/>
      <w:autoSpaceDN w:val="0"/>
      <w:adjustRightInd w:val="0"/>
      <w:spacing w:before="64" w:after="0" w:line="200" w:lineRule="atLeast"/>
      <w:jc w:val="both"/>
      <w:textAlignment w:val="center"/>
    </w:pPr>
    <w:rPr>
      <w:rFonts w:ascii="ArialMT" w:eastAsiaTheme="minorEastAsia" w:hAnsi="ArialMT" w:cs="ArialMT"/>
      <w:color w:val="000000"/>
      <w:sz w:val="16"/>
      <w:szCs w:val="16"/>
      <w:lang w:val="pt-BR" w:eastAsia="pt-BR"/>
    </w:rPr>
  </w:style>
  <w:style w:type="character" w:customStyle="1" w:styleId="Bold">
    <w:name w:val="Bold"/>
    <w:uiPriority w:val="99"/>
    <w:rsid w:val="00556E11"/>
    <w:rPr>
      <w:b/>
    </w:rPr>
  </w:style>
  <w:style w:type="character" w:customStyle="1" w:styleId="Itlico">
    <w:name w:val="Itálico"/>
    <w:uiPriority w:val="99"/>
    <w:rsid w:val="00556E1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1364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GUILHERME P DELLORE</dc:creator>
  <cp:keywords/>
  <dc:description/>
  <cp:lastModifiedBy>LUIZ GUILHERME P DELLORE</cp:lastModifiedBy>
  <cp:revision>3</cp:revision>
  <dcterms:created xsi:type="dcterms:W3CDTF">2019-10-01T10:17:00Z</dcterms:created>
  <dcterms:modified xsi:type="dcterms:W3CDTF">2023-02-13T23:37:00Z</dcterms:modified>
</cp:coreProperties>
</file>