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DA26" w14:textId="672C50F6" w:rsidR="00735F65" w:rsidRPr="00C93349" w:rsidRDefault="00735F65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Procedimentos especiais</w:t>
      </w:r>
      <w:r w:rsidR="001C1430" w:rsidRPr="00C93349">
        <w:rPr>
          <w:rFonts w:ascii="Times New Roman" w:hAnsi="Times New Roman" w:cs="Times New Roman"/>
          <w:sz w:val="24"/>
          <w:szCs w:val="24"/>
        </w:rPr>
        <w:t xml:space="preserve"> de jurisdição contenciosa (CPC)</w:t>
      </w:r>
    </w:p>
    <w:p w14:paraId="2A2AD512" w14:textId="77777777" w:rsidR="00F87675" w:rsidRPr="00C93349" w:rsidRDefault="00F87675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C761F" w14:textId="311D2B55" w:rsidR="00F87675" w:rsidRPr="00C93349" w:rsidRDefault="00F87675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C93349">
        <w:rPr>
          <w:szCs w:val="24"/>
        </w:rPr>
        <w:t>Da Ação Monitória</w:t>
      </w:r>
    </w:p>
    <w:p w14:paraId="0F4AB388" w14:textId="47143904" w:rsidR="00735F65" w:rsidRPr="00C93349" w:rsidRDefault="00210220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33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11BB2EDF" wp14:editId="18A5B498">
            <wp:simplePos x="0" y="0"/>
            <wp:positionH relativeFrom="margin">
              <wp:align>left</wp:align>
            </wp:positionH>
            <wp:positionV relativeFrom="line">
              <wp:posOffset>196330</wp:posOffset>
            </wp:positionV>
            <wp:extent cx="3429000" cy="1447800"/>
            <wp:effectExtent l="0" t="0" r="0" b="0"/>
            <wp:wrapTopAndBottom/>
            <wp:docPr id="608" name="556.jpg" descr="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6.jpg" descr="55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46464" w14:textId="0041CC3B" w:rsidR="00210220" w:rsidRPr="00C93349" w:rsidRDefault="00210220" w:rsidP="002102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0343E5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Não é possível a utilização do processo de execução, por falta de título executivo, mas já há prova escrita de onde decorre o dever de pagar, de entregar coisa ou de obrigação de fazer.</w:t>
      </w:r>
    </w:p>
    <w:p w14:paraId="122D4868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Na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petição inicial</w:t>
      </w:r>
      <w:r w:rsidRPr="00C93349">
        <w:rPr>
          <w:rFonts w:ascii="Times New Roman" w:hAnsi="Times New Roman" w:cs="Times New Roman"/>
          <w:sz w:val="24"/>
          <w:szCs w:val="24"/>
        </w:rPr>
        <w:t xml:space="preserve"> da monitória, incumbe ao autor indicar, conforme o caso (CPC, art. 700, § 2º), sob pena de indeferimento (CPC, art. 700, § 4º):</w:t>
      </w:r>
    </w:p>
    <w:p w14:paraId="6E3F7CA5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I – a importância devida (com memória de cálculo);</w:t>
      </w:r>
    </w:p>
    <w:p w14:paraId="149DAEFE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II – o valor atual da coisa reclamada;</w:t>
      </w:r>
    </w:p>
    <w:p w14:paraId="004F133B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III – o conteúdo patrimonial em discussão ou o proveito econômico perseguido.</w:t>
      </w:r>
    </w:p>
    <w:p w14:paraId="74A16073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Cabe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monitória contra a Fazenda Pública</w:t>
      </w:r>
      <w:r w:rsidRPr="00C93349">
        <w:rPr>
          <w:rFonts w:ascii="Times New Roman" w:hAnsi="Times New Roman" w:cs="Times New Roman"/>
          <w:sz w:val="24"/>
          <w:szCs w:val="24"/>
        </w:rPr>
        <w:t xml:space="preserve"> (CPC, art. 700, § 6º e Súmula 339 do STJ). Sendo ré a Fazenda Pública, não apresentada defesa, serão aplicadas as regras do reexame necessário, observando-se a seguir, no que couber, o cumprimento de sentença (CPC, art. 701, § 4º).</w:t>
      </w:r>
    </w:p>
    <w:p w14:paraId="6DFE0773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Na monitória, admite-se 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citação por qualquer</w:t>
      </w:r>
      <w:r w:rsidRPr="00C93349">
        <w:rPr>
          <w:rFonts w:ascii="Times New Roman" w:hAnsi="Times New Roman" w:cs="Times New Roman"/>
          <w:sz w:val="24"/>
          <w:szCs w:val="24"/>
        </w:rPr>
        <w:t xml:space="preserve">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meio</w:t>
      </w:r>
      <w:r w:rsidRPr="00C93349">
        <w:rPr>
          <w:rFonts w:ascii="Times New Roman" w:hAnsi="Times New Roman" w:cs="Times New Roman"/>
          <w:sz w:val="24"/>
          <w:szCs w:val="24"/>
        </w:rPr>
        <w:t xml:space="preserve"> permitido para o procedimento comum (CPC, art. 700, § 7º, e Súmula 282 do STJ, especificamente quanto à permissão de citação por edital).</w:t>
      </w:r>
    </w:p>
    <w:p w14:paraId="4570AFC0" w14:textId="72EBAB78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Na monitória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cabe a reconvenção</w:t>
      </w:r>
      <w:r w:rsidRPr="00C93349">
        <w:rPr>
          <w:rFonts w:ascii="Times New Roman" w:hAnsi="Times New Roman" w:cs="Times New Roman"/>
          <w:sz w:val="24"/>
          <w:szCs w:val="24"/>
        </w:rPr>
        <w:t xml:space="preserve">, mas é vedado o oferecimento de reconvenção </w:t>
      </w:r>
      <w:proofErr w:type="gramStart"/>
      <w:r w:rsidRPr="00C9334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93349">
        <w:rPr>
          <w:rFonts w:ascii="Times New Roman" w:hAnsi="Times New Roman" w:cs="Times New Roman"/>
          <w:sz w:val="24"/>
          <w:szCs w:val="24"/>
        </w:rPr>
        <w:t xml:space="preserve"> reconvenção (CPC, art. 702, § 6º, e Súmula 292 do STJ).</w:t>
      </w:r>
    </w:p>
    <w:p w14:paraId="0049B478" w14:textId="22CD990A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Procedimento:</w:t>
      </w:r>
    </w:p>
    <w:p w14:paraId="4419C192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Sendo evidente o direito do autor, o juiz deferirá 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 xml:space="preserve">expedição de mandado </w:t>
      </w:r>
      <w:r w:rsidRPr="00C93349">
        <w:rPr>
          <w:rFonts w:ascii="Times New Roman" w:hAnsi="Times New Roman" w:cs="Times New Roman"/>
          <w:sz w:val="24"/>
          <w:szCs w:val="24"/>
        </w:rPr>
        <w:t>de pagamento, de entrega de coisa ou para execução de obrigação de fazer ou de não fazer, concedendo ao réu prazo de 15 dias para o cumprimento e o pagamento de honorários advocatícios de 5% do valor atribuído à causa (CPC, art. 701).</w:t>
      </w:r>
    </w:p>
    <w:p w14:paraId="2B23C659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Haverá 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constituição do título executivo judicial</w:t>
      </w:r>
      <w:r w:rsidRPr="00C93349">
        <w:rPr>
          <w:rFonts w:ascii="Times New Roman" w:hAnsi="Times New Roman" w:cs="Times New Roman"/>
          <w:sz w:val="24"/>
          <w:szCs w:val="24"/>
        </w:rPr>
        <w:t xml:space="preserve">, independentemente de qualquer formalidade, se não rea­lizado o pagamento e não apresentados embargos, observando-se, no que couber, o procedimento do cumprimento de sentença (CPC, art. 701, § 2º); verificada tal hipótese,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cabe ação rescisória</w:t>
      </w:r>
      <w:r w:rsidRPr="00C93349">
        <w:rPr>
          <w:rFonts w:ascii="Times New Roman" w:hAnsi="Times New Roman" w:cs="Times New Roman"/>
          <w:sz w:val="24"/>
          <w:szCs w:val="24"/>
        </w:rPr>
        <w:t xml:space="preserve"> da decisão de deferimento da expedição do mandado de pagamento (CPC, art. 701, § 3º).</w:t>
      </w:r>
    </w:p>
    <w:p w14:paraId="167D02AD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lastRenderedPageBreak/>
        <w:t xml:space="preserve">Admite-se, na ação monitória, o pedido de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parcelamento da dívida</w:t>
      </w:r>
      <w:r w:rsidRPr="00C93349">
        <w:rPr>
          <w:rFonts w:ascii="Times New Roman" w:hAnsi="Times New Roman" w:cs="Times New Roman"/>
          <w:sz w:val="24"/>
          <w:szCs w:val="24"/>
        </w:rPr>
        <w:t xml:space="preserve"> previsto no art. 916 do CPC (art. 701, § 5º).</w:t>
      </w:r>
    </w:p>
    <w:p w14:paraId="54DC5F1E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Os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embargos à ação monitória</w:t>
      </w:r>
      <w:r w:rsidRPr="00C93349">
        <w:rPr>
          <w:rFonts w:ascii="Times New Roman" w:hAnsi="Times New Roman" w:cs="Times New Roman"/>
          <w:sz w:val="24"/>
          <w:szCs w:val="24"/>
        </w:rPr>
        <w:t xml:space="preserve"> (contestação da monitória) podem se fundar em matéria passível de alegação como defesa no procedimento comum (CPC, art. 702, § 1º).</w:t>
      </w:r>
    </w:p>
    <w:p w14:paraId="3A0E380C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O autor será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intimado para responder aos embargos</w:t>
      </w:r>
      <w:r w:rsidRPr="00C93349">
        <w:rPr>
          <w:rFonts w:ascii="Times New Roman" w:hAnsi="Times New Roman" w:cs="Times New Roman"/>
          <w:sz w:val="24"/>
          <w:szCs w:val="24"/>
        </w:rPr>
        <w:t xml:space="preserve"> no prazo de 15 dias (CPC, art. 702, § 5º).</w:t>
      </w:r>
    </w:p>
    <w:p w14:paraId="4E88E433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A critério do juiz, os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embargos serão autuados</w:t>
      </w:r>
      <w:r w:rsidRPr="00C93349">
        <w:rPr>
          <w:rFonts w:ascii="Times New Roman" w:hAnsi="Times New Roman" w:cs="Times New Roman"/>
          <w:sz w:val="24"/>
          <w:szCs w:val="24"/>
        </w:rPr>
        <w:t xml:space="preserve"> em apartado, se parciais, constituindo-se de pleno direito o título executivo judicial em relação à parcela incontroversa (CPC, art. 702, § 7º).</w:t>
      </w:r>
    </w:p>
    <w:p w14:paraId="74A74913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Cabe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apelação</w:t>
      </w:r>
      <w:r w:rsidRPr="00C93349">
        <w:rPr>
          <w:rFonts w:ascii="Times New Roman" w:hAnsi="Times New Roman" w:cs="Times New Roman"/>
          <w:sz w:val="24"/>
          <w:szCs w:val="24"/>
        </w:rPr>
        <w:t xml:space="preserve"> contra a sentença que acolhe ou rejeita os embargos (CPC, art. 702, § 9º).</w:t>
      </w:r>
    </w:p>
    <w:p w14:paraId="50AB41DB" w14:textId="77777777" w:rsidR="00210220" w:rsidRPr="00C93349" w:rsidRDefault="00210220" w:rsidP="00210220">
      <w:pPr>
        <w:pStyle w:val="Para17"/>
        <w:ind w:firstLine="360"/>
        <w:rPr>
          <w:rFonts w:ascii="Times New Roman" w:hAnsi="Times New Roman"/>
        </w:rPr>
      </w:pPr>
      <w:r w:rsidRPr="00C93349">
        <w:rPr>
          <w:rStyle w:val="02Text"/>
          <w:rFonts w:ascii="Times New Roman" w:hAnsi="Times New Roman"/>
        </w:rPr>
        <w:t xml:space="preserve">Os embargos monitórios </w:t>
      </w:r>
      <w:r w:rsidRPr="00C93349">
        <w:rPr>
          <w:rFonts w:ascii="Times New Roman" w:hAnsi="Times New Roman"/>
        </w:rPr>
        <w:t>somente suspendem a ação monitória até o julgamento de primeiro grau</w:t>
      </w:r>
      <w:r w:rsidRPr="00C93349">
        <w:rPr>
          <w:rStyle w:val="02Text"/>
          <w:rFonts w:ascii="Times New Roman" w:hAnsi="Times New Roman"/>
        </w:rPr>
        <w:t xml:space="preserve"> (CPC, art. 702, § 4º).</w:t>
      </w:r>
    </w:p>
    <w:p w14:paraId="1A26B563" w14:textId="77777777" w:rsidR="00210220" w:rsidRPr="00C93349" w:rsidRDefault="00210220" w:rsidP="002102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99ABC6" w14:textId="77777777" w:rsidR="00210220" w:rsidRPr="00C93349" w:rsidRDefault="00210220" w:rsidP="0021022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6E8ABA" w14:textId="77777777" w:rsidR="00F87675" w:rsidRPr="00C93349" w:rsidRDefault="00F87675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C93349">
        <w:rPr>
          <w:szCs w:val="24"/>
        </w:rPr>
        <w:t>Das Ações Possessórias</w:t>
      </w:r>
    </w:p>
    <w:p w14:paraId="60EA9C42" w14:textId="1BC4CCD7" w:rsidR="00F87675" w:rsidRPr="00C93349" w:rsidRDefault="00F87675" w:rsidP="00CA5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36DBA2A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Na legislação civil, o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possuidor</w:t>
      </w:r>
      <w:r w:rsidRPr="00C93349">
        <w:rPr>
          <w:rFonts w:ascii="Times New Roman" w:hAnsi="Times New Roman" w:cs="Times New Roman"/>
          <w:sz w:val="24"/>
          <w:szCs w:val="24"/>
        </w:rPr>
        <w:t xml:space="preserve"> é definido como quem “tem de fato o exercício (...) de algum dos poderes inerentes à propriedade” (CC, art. 1.196).</w:t>
      </w:r>
    </w:p>
    <w:p w14:paraId="538BE4BA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Quando a causa de pedir de uma demanda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tiver por base a posse</w:t>
      </w:r>
      <w:r w:rsidRPr="00C93349">
        <w:rPr>
          <w:rFonts w:ascii="Times New Roman" w:hAnsi="Times New Roman" w:cs="Times New Roman"/>
          <w:sz w:val="24"/>
          <w:szCs w:val="24"/>
        </w:rPr>
        <w:t>, estaremos diante de uma ação possessória.</w:t>
      </w:r>
    </w:p>
    <w:p w14:paraId="38D29CFF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Quando a causa de pedir de uma demanda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tiver por base a propriedade</w:t>
      </w:r>
      <w:r w:rsidRPr="00C93349">
        <w:rPr>
          <w:rFonts w:ascii="Times New Roman" w:hAnsi="Times New Roman" w:cs="Times New Roman"/>
          <w:sz w:val="24"/>
          <w:szCs w:val="24"/>
        </w:rPr>
        <w:t xml:space="preserve">, estaremos diante de uma </w:t>
      </w:r>
      <w:r w:rsidRPr="00C93349">
        <w:rPr>
          <w:rFonts w:ascii="Times New Roman" w:hAnsi="Times New Roman" w:cs="Times New Roman"/>
          <w:sz w:val="24"/>
          <w:szCs w:val="24"/>
          <w:u w:val="single"/>
        </w:rPr>
        <w:t>ação petitória</w:t>
      </w:r>
      <w:r w:rsidRPr="00C93349">
        <w:rPr>
          <w:rFonts w:ascii="Times New Roman" w:hAnsi="Times New Roman" w:cs="Times New Roman"/>
          <w:sz w:val="24"/>
          <w:szCs w:val="24"/>
        </w:rPr>
        <w:t xml:space="preserve">. Dentre as petitórias, há a ação de imissão na posse e a reivindicatória (que buscam a obtenção da posse a partir de sua propriedade), que seguem o procedimento </w:t>
      </w:r>
      <w:r w:rsidRPr="00C93349">
        <w:rPr>
          <w:rFonts w:ascii="Times New Roman" w:hAnsi="Times New Roman" w:cs="Times New Roman"/>
          <w:sz w:val="24"/>
          <w:szCs w:val="24"/>
          <w:u w:val="single"/>
        </w:rPr>
        <w:t>comum</w:t>
      </w:r>
      <w:r w:rsidRPr="00C93349">
        <w:rPr>
          <w:rFonts w:ascii="Times New Roman" w:hAnsi="Times New Roman" w:cs="Times New Roman"/>
          <w:sz w:val="24"/>
          <w:szCs w:val="24"/>
        </w:rPr>
        <w:t>, pois não há previsão específica dessas demandas no CPC.</w:t>
      </w:r>
    </w:p>
    <w:p w14:paraId="02DDABEC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Assim, somente as possessórias é que têm um procedimento especial.</w:t>
      </w:r>
    </w:p>
    <w:p w14:paraId="0D192294" w14:textId="77777777" w:rsidR="00CA5F5B" w:rsidRPr="00C93349" w:rsidRDefault="00CA5F5B" w:rsidP="00CA5F5B">
      <w:pPr>
        <w:pStyle w:val="Para06"/>
        <w:ind w:firstLine="360"/>
        <w:rPr>
          <w:rFonts w:ascii="Times New Roman" w:hAnsi="Times New Roman" w:cs="Times New Roman"/>
        </w:rPr>
      </w:pPr>
      <w:r w:rsidRPr="00C93349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7D54A011" wp14:editId="328D9D05">
            <wp:simplePos x="0" y="0"/>
            <wp:positionH relativeFrom="margin">
              <wp:align>center</wp:align>
            </wp:positionH>
            <wp:positionV relativeFrom="line">
              <wp:align>top</wp:align>
            </wp:positionV>
            <wp:extent cx="3429000" cy="1651000"/>
            <wp:effectExtent l="0" t="0" r="0" b="0"/>
            <wp:wrapTopAndBottom/>
            <wp:docPr id="607" name="555.jpg" descr="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 descr="5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030D5" w14:textId="77777777" w:rsidR="00CA5F5B" w:rsidRPr="00C93349" w:rsidRDefault="00CA5F5B" w:rsidP="00CA5F5B">
      <w:pPr>
        <w:pStyle w:val="Para17"/>
        <w:ind w:firstLine="360"/>
        <w:rPr>
          <w:rFonts w:ascii="Times New Roman" w:hAnsi="Times New Roman"/>
        </w:rPr>
      </w:pPr>
      <w:r w:rsidRPr="00C93349">
        <w:rPr>
          <w:rStyle w:val="02Text"/>
          <w:rFonts w:ascii="Times New Roman" w:hAnsi="Times New Roman"/>
        </w:rPr>
        <w:t>O</w:t>
      </w:r>
      <w:r w:rsidRPr="00C93349">
        <w:rPr>
          <w:rFonts w:ascii="Times New Roman" w:hAnsi="Times New Roman"/>
        </w:rPr>
        <w:t xml:space="preserve"> procedimento das possessórias é </w:t>
      </w:r>
      <w:r w:rsidRPr="00C93349">
        <w:rPr>
          <w:rStyle w:val="02Text"/>
          <w:rFonts w:ascii="Times New Roman" w:hAnsi="Times New Roman"/>
        </w:rPr>
        <w:t>distinto porque:</w:t>
      </w:r>
    </w:p>
    <w:p w14:paraId="576E142A" w14:textId="77777777" w:rsidR="00CA5F5B" w:rsidRPr="00C93349" w:rsidRDefault="00CA5F5B" w:rsidP="00CA5F5B">
      <w:pPr>
        <w:pStyle w:val="Para22"/>
        <w:ind w:firstLine="361"/>
        <w:rPr>
          <w:rFonts w:ascii="Times New Roman" w:hAnsi="Times New Roman"/>
        </w:rPr>
      </w:pPr>
      <w:r w:rsidRPr="00C93349">
        <w:rPr>
          <w:rFonts w:ascii="Times New Roman" w:hAnsi="Times New Roman"/>
        </w:rPr>
        <w:t xml:space="preserve"> a) possibilidade de liminar:</w:t>
      </w:r>
    </w:p>
    <w:p w14:paraId="35087413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lastRenderedPageBreak/>
        <w:t>Cabe liminar na possessória (CPC, arts. 558 e 562) na hipótese de posse nova (ou seja, de menos de ano e um dia). Não se trata de uma tutela provisória (CPC, art. 294), mas sim de uma liminar com requisitos distintos: prova da posse e tempo da moléstia.</w:t>
      </w:r>
    </w:p>
    <w:p w14:paraId="2059D2C6" w14:textId="77777777" w:rsidR="00CA5F5B" w:rsidRPr="00C93349" w:rsidRDefault="00CA5F5B" w:rsidP="00CA5F5B">
      <w:pPr>
        <w:pStyle w:val="Para22"/>
        <w:ind w:firstLine="361"/>
        <w:rPr>
          <w:rFonts w:ascii="Times New Roman" w:hAnsi="Times New Roman"/>
        </w:rPr>
      </w:pPr>
      <w:r w:rsidRPr="00C93349">
        <w:rPr>
          <w:rFonts w:ascii="Times New Roman" w:hAnsi="Times New Roman"/>
        </w:rPr>
        <w:t xml:space="preserve"> b) fungibilidade das ações possessórias:</w:t>
      </w:r>
    </w:p>
    <w:p w14:paraId="30F7AF8D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Em virtude do dinamismo dos fatos em relação à posse, mesmo se o autor ajuizar uma determinada ação e a situação for (ou se transformar) em outra, desde que provados os fatos, deverá o juiz conceder a proteção possessória (CPC, art. 554).</w:t>
      </w:r>
    </w:p>
    <w:p w14:paraId="291681DA" w14:textId="77777777" w:rsidR="00CA5F5B" w:rsidRPr="00C93349" w:rsidRDefault="00CA5F5B" w:rsidP="00CA5F5B">
      <w:pPr>
        <w:pStyle w:val="Para22"/>
        <w:ind w:firstLine="361"/>
        <w:rPr>
          <w:rFonts w:ascii="Times New Roman" w:hAnsi="Times New Roman"/>
        </w:rPr>
      </w:pPr>
      <w:r w:rsidRPr="00C93349">
        <w:rPr>
          <w:rFonts w:ascii="Times New Roman" w:hAnsi="Times New Roman"/>
        </w:rPr>
        <w:t xml:space="preserve"> c) audiência de justificação:</w:t>
      </w:r>
    </w:p>
    <w:p w14:paraId="5F804290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Se o juiz não se convencer, pelos documentos, a respeito da concessão ou não da liminar, deverá ser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designada audiência de justificação</w:t>
      </w:r>
      <w:r w:rsidRPr="00C93349">
        <w:rPr>
          <w:rFonts w:ascii="Times New Roman" w:hAnsi="Times New Roman" w:cs="Times New Roman"/>
          <w:sz w:val="24"/>
          <w:szCs w:val="24"/>
        </w:rPr>
        <w:t xml:space="preserve"> para formar a convicção (CPC, art. 562).</w:t>
      </w:r>
    </w:p>
    <w:p w14:paraId="56867B42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petição inicial</w:t>
      </w:r>
      <w:r w:rsidRPr="00C93349">
        <w:rPr>
          <w:rFonts w:ascii="Times New Roman" w:hAnsi="Times New Roman" w:cs="Times New Roman"/>
          <w:sz w:val="24"/>
          <w:szCs w:val="24"/>
        </w:rPr>
        <w:t xml:space="preserve"> da possessória deve trazer a (i) posse do autor, (ii) moléstia ocorrida em relação à posse e (iii) data da turbação ou esbulho (CPC, art. 561). A inicial pode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cumular</w:t>
      </w:r>
      <w:r w:rsidRPr="00C93349">
        <w:rPr>
          <w:rFonts w:ascii="Times New Roman" w:hAnsi="Times New Roman" w:cs="Times New Roman"/>
          <w:sz w:val="24"/>
          <w:szCs w:val="24"/>
        </w:rPr>
        <w:t xml:space="preserve">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pedidos</w:t>
      </w:r>
      <w:r w:rsidRPr="00C93349">
        <w:rPr>
          <w:rFonts w:ascii="Times New Roman" w:hAnsi="Times New Roman" w:cs="Times New Roman"/>
          <w:sz w:val="24"/>
          <w:szCs w:val="24"/>
        </w:rPr>
        <w:t>, além da proteção da posse, (i) condenação em perdas e danos, (ii) indenização dos frutos, (iii), imposição de medida de apoio (tal como multa) para (a) evitar nova violação à posse e (b) para que haja cumprimento da tutela provisória ou final (CPC, art. 555).</w:t>
      </w:r>
    </w:p>
    <w:p w14:paraId="003370DE" w14:textId="77777777" w:rsidR="00CA5F5B" w:rsidRPr="00C93349" w:rsidRDefault="00CA5F5B" w:rsidP="00CA5F5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Na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contestação</w:t>
      </w:r>
      <w:r w:rsidRPr="00C93349">
        <w:rPr>
          <w:rFonts w:ascii="Times New Roman" w:hAnsi="Times New Roman" w:cs="Times New Roman"/>
          <w:sz w:val="24"/>
          <w:szCs w:val="24"/>
        </w:rPr>
        <w:t>, pode o réu formular pedido em face do autor, em relação a: (i) perdas e danos; e (ii) própria proteção possessória (CPC, art. 556 – o que será feito pela reconvenção, na própria contestação).</w:t>
      </w:r>
    </w:p>
    <w:p w14:paraId="3E77FA29" w14:textId="77777777" w:rsidR="00CA5F5B" w:rsidRPr="00C93349" w:rsidRDefault="00CA5F5B" w:rsidP="00F87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597F638" w14:textId="7ECCEB5E" w:rsidR="00735F65" w:rsidRPr="00C93349" w:rsidRDefault="00735F65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C93349">
        <w:rPr>
          <w:szCs w:val="24"/>
        </w:rPr>
        <w:t>Da Ação de Exigir Contas</w:t>
      </w:r>
    </w:p>
    <w:p w14:paraId="2396721A" w14:textId="7234E800" w:rsidR="00F87675" w:rsidRPr="00C93349" w:rsidRDefault="00F87675" w:rsidP="00F87675">
      <w:pPr>
        <w:pStyle w:val="PargrafodaLista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4B3B0D9" w14:textId="267A1A16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No CPC73 havia a “ação de prestação de contas”, que poderia ser proposta tanto por quem poderia exigir como por quem deveria prestar as contas. No CPC,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deixa de existir procedimento especial para quem pretende prestar as contas</w:t>
      </w:r>
      <w:r w:rsidRPr="00C93349">
        <w:rPr>
          <w:rFonts w:ascii="Times New Roman" w:hAnsi="Times New Roman" w:cs="Times New Roman"/>
          <w:sz w:val="24"/>
          <w:szCs w:val="24"/>
        </w:rPr>
        <w:t xml:space="preserve">. Por isso, a nova legislação altera o nome para “ação de exigir contas”. </w:t>
      </w:r>
    </w:p>
    <w:p w14:paraId="0C944529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Quem afirmar ser titular do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direito de exigir contas</w:t>
      </w:r>
      <w:r w:rsidRPr="00C93349">
        <w:rPr>
          <w:rFonts w:ascii="Times New Roman" w:hAnsi="Times New Roman" w:cs="Times New Roman"/>
          <w:sz w:val="24"/>
          <w:szCs w:val="24"/>
        </w:rPr>
        <w:t xml:space="preserve"> requererá a citação do réu para que as preste ou ofereça contestação no prazo de 15 dias (CPC, art. 550).</w:t>
      </w:r>
    </w:p>
    <w:p w14:paraId="2F2DDE95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Se as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contas forem prestadas</w:t>
      </w:r>
      <w:r w:rsidRPr="00C93349">
        <w:rPr>
          <w:rFonts w:ascii="Times New Roman" w:hAnsi="Times New Roman" w:cs="Times New Roman"/>
          <w:sz w:val="24"/>
          <w:szCs w:val="24"/>
        </w:rPr>
        <w:t>, o autor terá também 15 dias para se manifestar (CPC, art. 550, § 2º).</w:t>
      </w:r>
    </w:p>
    <w:p w14:paraId="0DC0C5CF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Na petição inicial, o autor especificará as razões pelas quais exige as contas, instruindo a peça com documentos comprobatórios dessa necessidade, se existirem.</w:t>
      </w:r>
    </w:p>
    <w:p w14:paraId="37715B36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impugnação das contas</w:t>
      </w:r>
      <w:r w:rsidRPr="00C93349">
        <w:rPr>
          <w:rFonts w:ascii="Times New Roman" w:hAnsi="Times New Roman" w:cs="Times New Roman"/>
          <w:sz w:val="24"/>
          <w:szCs w:val="24"/>
        </w:rPr>
        <w:t xml:space="preserve"> apresentadas pelo réu deverá ser fundamentada e especificar o lançamento questionado (CPC, art. 550, </w:t>
      </w:r>
      <w:r w:rsidRPr="00C93349">
        <w:rPr>
          <w:rStyle w:val="01Text"/>
          <w:rFonts w:ascii="Times New Roman" w:hAnsi="Times New Roman" w:cs="Times New Roman"/>
          <w:sz w:val="24"/>
          <w:szCs w:val="24"/>
        </w:rPr>
        <w:t>caput</w:t>
      </w:r>
      <w:r w:rsidRPr="00C93349">
        <w:rPr>
          <w:rFonts w:ascii="Times New Roman" w:hAnsi="Times New Roman" w:cs="Times New Roman"/>
          <w:sz w:val="24"/>
          <w:szCs w:val="24"/>
        </w:rPr>
        <w:t xml:space="preserve"> e § 3º).</w:t>
      </w:r>
    </w:p>
    <w:p w14:paraId="12C4E543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A decisão que julgar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procedente o pedido condenará o réu a prestar as contas</w:t>
      </w:r>
      <w:r w:rsidRPr="00C93349">
        <w:rPr>
          <w:rFonts w:ascii="Times New Roman" w:hAnsi="Times New Roman" w:cs="Times New Roman"/>
          <w:sz w:val="24"/>
          <w:szCs w:val="24"/>
        </w:rPr>
        <w:t xml:space="preserve"> no prazo de 15 dias, sob pena de não lhe ser lícito impugnar as que o autor apresentar (CPC, art. 550, § 5º).</w:t>
      </w:r>
    </w:p>
    <w:p w14:paraId="269BE91F" w14:textId="77777777" w:rsidR="00083179" w:rsidRPr="00C93349" w:rsidRDefault="00083179" w:rsidP="00083179">
      <w:pPr>
        <w:ind w:firstLine="361"/>
        <w:rPr>
          <w:rFonts w:ascii="Times New Roman" w:hAnsi="Times New Roman" w:cs="Times New Roman"/>
          <w:sz w:val="24"/>
          <w:szCs w:val="24"/>
        </w:rPr>
      </w:pPr>
      <w:r w:rsidRPr="00C93349">
        <w:rPr>
          <w:rStyle w:val="00Text"/>
          <w:rFonts w:ascii="Times New Roman" w:hAnsi="Times New Roman" w:cs="Times New Roman"/>
          <w:sz w:val="24"/>
          <w:szCs w:val="24"/>
        </w:rPr>
        <w:t xml:space="preserve">Apresentando o réu </w:t>
      </w:r>
      <w:proofErr w:type="gramStart"/>
      <w:r w:rsidRPr="00C93349">
        <w:rPr>
          <w:rStyle w:val="00Text"/>
          <w:rFonts w:ascii="Times New Roman" w:hAnsi="Times New Roman" w:cs="Times New Roman"/>
          <w:sz w:val="24"/>
          <w:szCs w:val="24"/>
        </w:rPr>
        <w:t>as contas</w:t>
      </w:r>
      <w:r w:rsidRPr="00C93349">
        <w:rPr>
          <w:rFonts w:ascii="Times New Roman" w:hAnsi="Times New Roman" w:cs="Times New Roman"/>
          <w:sz w:val="24"/>
          <w:szCs w:val="24"/>
        </w:rPr>
        <w:t>, o feito terá</w:t>
      </w:r>
      <w:proofErr w:type="gramEnd"/>
      <w:r w:rsidRPr="00C93349">
        <w:rPr>
          <w:rFonts w:ascii="Times New Roman" w:hAnsi="Times New Roman" w:cs="Times New Roman"/>
          <w:sz w:val="24"/>
          <w:szCs w:val="24"/>
        </w:rPr>
        <w:t xml:space="preserve"> prosseguimento. Se o réu não fizer isso, o autor as apresentará no prazo de 15 dias, podendo o juiz determinar a realização de exame pericial, se necessário (CPC, art. 550, § 6º).</w:t>
      </w:r>
    </w:p>
    <w:p w14:paraId="464B236D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lastRenderedPageBreak/>
        <w:t>As contas do réu serão apresentadas na forma adequada, especificando-se as receitas, a aplicação das despesas e os investimentos, se houver (CPC, art. 551).</w:t>
      </w:r>
    </w:p>
    <w:p w14:paraId="4B9AEC48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Se o autor apresentar impugnação específica e fundamentada, o juiz estabelecerá prazo razoável para que o réu apresente os documentos justificativos dos lançamentos individualmente impugnados (CPC, art. 550, § 1º).</w:t>
      </w:r>
    </w:p>
    <w:p w14:paraId="11675E46" w14:textId="77777777" w:rsidR="00083179" w:rsidRPr="00C93349" w:rsidRDefault="00083179" w:rsidP="0008317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>Da decisão que julgar procedente a primeira fase da ação de exigir contas, caberá agravo de instrumento (decisão parcial de mérito). Se julgada improcedente, caberá apelação (sentença) – STJ, REsp 1.746.337.</w:t>
      </w:r>
    </w:p>
    <w:p w14:paraId="0DCF05A0" w14:textId="77777777" w:rsidR="00083179" w:rsidRPr="00C93349" w:rsidRDefault="00083179" w:rsidP="00F87675">
      <w:pPr>
        <w:pStyle w:val="PargrafodaLista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66E6146" w14:textId="17C85A6F" w:rsidR="00F87675" w:rsidRPr="00C93349" w:rsidRDefault="00F87675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C93349">
        <w:rPr>
          <w:szCs w:val="24"/>
          <w:lang w:val="en-US"/>
        </w:rPr>
        <w:t>Embargos de 3o</w:t>
      </w:r>
    </w:p>
    <w:p w14:paraId="65189877" w14:textId="77777777" w:rsidR="00C93349" w:rsidRPr="00C93349" w:rsidRDefault="00C93349" w:rsidP="00C93349">
      <w:pPr>
        <w:pStyle w:val="aulacorpotexto"/>
        <w:ind w:firstLine="360"/>
        <w:rPr>
          <w:szCs w:val="24"/>
          <w:lang w:val="en-US"/>
        </w:rPr>
      </w:pPr>
    </w:p>
    <w:p w14:paraId="74B15089" w14:textId="7B9E0231" w:rsidR="00AB4960" w:rsidRPr="006779AC" w:rsidRDefault="00AB4960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>Objetivo: defesa contra CONSTRIÇÃO ou AMEAÇA DE CONSTRIÇÃO sobre bens de alguém que não é parte no processo.</w:t>
      </w:r>
    </w:p>
    <w:p w14:paraId="0334CF12" w14:textId="77777777" w:rsidR="00C93349" w:rsidRPr="006779AC" w:rsidRDefault="00C93349" w:rsidP="00C93349">
      <w:pPr>
        <w:pStyle w:val="aulacorpotexto"/>
        <w:ind w:firstLine="360"/>
        <w:rPr>
          <w:i/>
          <w:iCs/>
          <w:szCs w:val="24"/>
        </w:rPr>
      </w:pPr>
    </w:p>
    <w:p w14:paraId="77C70064" w14:textId="62A586E4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>CPC, Art. 674. Quem, não sendo parte no processo, sofrer constrição ou ameaça de constrição sobre bens que possua ou sobre os quais tenha direito incompatível com o ato constritivo, poderá requerer seu desfazimento ou sua inibição por meio de embargos de terceiro.</w:t>
      </w:r>
    </w:p>
    <w:p w14:paraId="78FD4033" w14:textId="2694DB84" w:rsidR="00C93349" w:rsidRPr="006779AC" w:rsidRDefault="00C93349" w:rsidP="00C93349">
      <w:pPr>
        <w:pStyle w:val="aulacorpotexto"/>
        <w:ind w:firstLine="360"/>
        <w:rPr>
          <w:szCs w:val="24"/>
        </w:rPr>
      </w:pPr>
    </w:p>
    <w:p w14:paraId="124111D0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>QUAL ATO CONSTRITIVO?</w:t>
      </w:r>
    </w:p>
    <w:p w14:paraId="65552669" w14:textId="29E21DFF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 xml:space="preserve">Qualquer (penhora, arresto, sequestro, busca e </w:t>
      </w:r>
      <w:proofErr w:type="gramStart"/>
      <w:r w:rsidRPr="006779AC">
        <w:rPr>
          <w:szCs w:val="24"/>
        </w:rPr>
        <w:t xml:space="preserve">apreensão </w:t>
      </w:r>
      <w:proofErr w:type="spellStart"/>
      <w:r w:rsidRPr="006779AC">
        <w:rPr>
          <w:szCs w:val="24"/>
        </w:rPr>
        <w:t>etc</w:t>
      </w:r>
      <w:proofErr w:type="spellEnd"/>
      <w:proofErr w:type="gramEnd"/>
      <w:r w:rsidRPr="006779AC">
        <w:rPr>
          <w:szCs w:val="24"/>
        </w:rPr>
        <w:t>)</w:t>
      </w:r>
    </w:p>
    <w:p w14:paraId="0EAF7FC9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</w:p>
    <w:p w14:paraId="7DC5FC3C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 xml:space="preserve">CABE ALGUMA CUMULAÇÃO? </w:t>
      </w:r>
    </w:p>
    <w:p w14:paraId="2F6A8F2C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>Embargante pode cumular juízo PETITÓRIO com POSSESSÓRIO.</w:t>
      </w:r>
    </w:p>
    <w:p w14:paraId="26034AC0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</w:p>
    <w:p w14:paraId="37B61B83" w14:textId="67577154" w:rsidR="00C93349" w:rsidRPr="00C93349" w:rsidRDefault="00C93349" w:rsidP="00C93349">
      <w:pPr>
        <w:pStyle w:val="aulacorpotexto"/>
        <w:ind w:firstLine="360"/>
        <w:rPr>
          <w:szCs w:val="24"/>
          <w:lang w:val="en-US"/>
        </w:rPr>
      </w:pPr>
      <w:r w:rsidRPr="00C93349">
        <w:rPr>
          <w:szCs w:val="24"/>
          <w:lang w:val="en-US"/>
        </w:rPr>
        <w:t>LEGITIMIDADE ATIVA:</w:t>
      </w:r>
    </w:p>
    <w:p w14:paraId="1E3E4251" w14:textId="103713BD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C93349">
        <w:rPr>
          <w:szCs w:val="24"/>
        </w:rPr>
        <w:t xml:space="preserve">Terceiro que </w:t>
      </w:r>
      <w:r w:rsidRPr="00C93349">
        <w:rPr>
          <w:szCs w:val="24"/>
          <w:u w:val="single"/>
        </w:rPr>
        <w:t xml:space="preserve">não tenha participado da relação </w:t>
      </w:r>
      <w:proofErr w:type="gramStart"/>
      <w:r w:rsidRPr="00C93349">
        <w:rPr>
          <w:szCs w:val="24"/>
          <w:u w:val="single"/>
        </w:rPr>
        <w:t>processual</w:t>
      </w:r>
      <w:proofErr w:type="gramEnd"/>
      <w:r w:rsidRPr="00C93349">
        <w:rPr>
          <w:szCs w:val="24"/>
        </w:rPr>
        <w:t xml:space="preserve"> mas foi atingido por ato de constrição</w:t>
      </w:r>
    </w:p>
    <w:p w14:paraId="09627187" w14:textId="49D2B550" w:rsidR="00C93349" w:rsidRPr="006779AC" w:rsidRDefault="00C93349" w:rsidP="00C93349">
      <w:pPr>
        <w:pStyle w:val="aulacorpotexto"/>
        <w:ind w:firstLine="360"/>
        <w:rPr>
          <w:szCs w:val="24"/>
        </w:rPr>
      </w:pPr>
    </w:p>
    <w:p w14:paraId="7474CE08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>LEGITIMIDADE PASSIVA:</w:t>
      </w:r>
    </w:p>
    <w:p w14:paraId="40110969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>CPC, art. 677, § 4º. Será legitimado passivo o sujeito a quem o ato de constrição aproveita, assim como o será seu adversário no processo principal quando for sua a indicação do bem para a constrição judicial.</w:t>
      </w:r>
    </w:p>
    <w:p w14:paraId="68A2C866" w14:textId="77777777" w:rsidR="00C93349" w:rsidRPr="006779AC" w:rsidRDefault="00C93349" w:rsidP="00C93349">
      <w:pPr>
        <w:pStyle w:val="aulacorpotexto"/>
        <w:ind w:firstLine="360"/>
        <w:rPr>
          <w:szCs w:val="24"/>
        </w:rPr>
      </w:pPr>
    </w:p>
    <w:p w14:paraId="33828AA4" w14:textId="47EEE74B" w:rsidR="00C93349" w:rsidRPr="003D02AF" w:rsidRDefault="00C93349" w:rsidP="00C93349">
      <w:pPr>
        <w:pStyle w:val="aulacorpotexto"/>
        <w:ind w:firstLine="360"/>
        <w:rPr>
          <w:szCs w:val="24"/>
        </w:rPr>
      </w:pPr>
      <w:r w:rsidRPr="003D02AF">
        <w:rPr>
          <w:szCs w:val="24"/>
        </w:rPr>
        <w:t>PRAZO PARA OPOSIÇÃO</w:t>
      </w:r>
    </w:p>
    <w:p w14:paraId="123208B2" w14:textId="114E0EFE" w:rsidR="00C93349" w:rsidRPr="006779AC" w:rsidRDefault="00C93349" w:rsidP="00C93349">
      <w:pPr>
        <w:pStyle w:val="aulacorpotexto"/>
        <w:ind w:firstLine="360"/>
        <w:rPr>
          <w:szCs w:val="24"/>
        </w:rPr>
      </w:pPr>
      <w:r w:rsidRPr="006779AC">
        <w:rPr>
          <w:szCs w:val="24"/>
        </w:rPr>
        <w:t>CPC, art. 675.  Os embargos podem ser opostos a qualquer tempo no processo de conhecimento enquanto não transitada em julgado a sentença e, no cumprimento de sentença ou no processo de execução, até 5 (cinco) dias depois da adjudicação, da alienação por iniciativa particular ou da arrematação, mas sempre antes da assinatura da respectiva carta.</w:t>
      </w:r>
    </w:p>
    <w:p w14:paraId="2425A613" w14:textId="77777777" w:rsidR="00AB4960" w:rsidRPr="006779AC" w:rsidRDefault="00AB4960" w:rsidP="00F87675">
      <w:pPr>
        <w:pStyle w:val="aulacorpotexto"/>
        <w:tabs>
          <w:tab w:val="left" w:pos="7088"/>
        </w:tabs>
        <w:rPr>
          <w:szCs w:val="24"/>
        </w:rPr>
      </w:pPr>
    </w:p>
    <w:p w14:paraId="792128B4" w14:textId="77777777" w:rsidR="00735F65" w:rsidRPr="00C93349" w:rsidRDefault="00735F65" w:rsidP="00F87675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  <w:lang w:val="en-US"/>
        </w:rPr>
      </w:pPr>
      <w:r w:rsidRPr="00C93349">
        <w:rPr>
          <w:szCs w:val="24"/>
        </w:rPr>
        <w:t>Das Ações de Família</w:t>
      </w:r>
    </w:p>
    <w:p w14:paraId="14D112CB" w14:textId="37DF8170" w:rsidR="00735F65" w:rsidRPr="00C93349" w:rsidRDefault="00735F65" w:rsidP="00F87675">
      <w:pPr>
        <w:pStyle w:val="aulacorpotexto"/>
        <w:rPr>
          <w:szCs w:val="24"/>
        </w:rPr>
      </w:pPr>
    </w:p>
    <w:p w14:paraId="6A18B959" w14:textId="636934CC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O CPC traz capítulo próprio para regular o procedimento das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ações do direito de família</w:t>
      </w:r>
      <w:r w:rsidRPr="00C93349">
        <w:rPr>
          <w:rFonts w:ascii="Times New Roman" w:hAnsi="Times New Roman" w:cs="Times New Roman"/>
          <w:sz w:val="24"/>
          <w:szCs w:val="24"/>
        </w:rPr>
        <w:t>, para as demandas contenciosas de divórcio, separação, reconhecimento e extinção de união estável, guarda, visitação e filiação.</w:t>
      </w:r>
    </w:p>
    <w:p w14:paraId="518B6AF1" w14:textId="72245FF2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lastRenderedPageBreak/>
        <w:t>O CPC afirma que nessas ações “todos os esforços serão empregados para a solução consensual da controvérsia, devendo o juiz dispor do auxílio de profissionais de outras áreas de conhecimento para a mediação e a conciliação” (CPC, art. 694).</w:t>
      </w:r>
    </w:p>
    <w:p w14:paraId="6C9270B2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Cabe 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suspensão do processo</w:t>
      </w:r>
      <w:r w:rsidRPr="00C93349">
        <w:rPr>
          <w:rFonts w:ascii="Times New Roman" w:hAnsi="Times New Roman" w:cs="Times New Roman"/>
          <w:sz w:val="24"/>
          <w:szCs w:val="24"/>
        </w:rPr>
        <w:t xml:space="preserve"> enquanto os litigantes se submetem a mediação extrajudicial ou atendimento multidisciplinar (CPC, art. 694, parágrafo único).</w:t>
      </w:r>
    </w:p>
    <w:p w14:paraId="48FA5200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Além disso, 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citação do réu</w:t>
      </w:r>
      <w:r w:rsidRPr="00C93349">
        <w:rPr>
          <w:rFonts w:ascii="Times New Roman" w:hAnsi="Times New Roman" w:cs="Times New Roman"/>
          <w:sz w:val="24"/>
          <w:szCs w:val="24"/>
        </w:rPr>
        <w:t xml:space="preserve">, para comparecer à audiência de conciliação ou mediação, será realizada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sem cópia da petição inicial</w:t>
      </w:r>
      <w:r w:rsidRPr="00C93349">
        <w:rPr>
          <w:rFonts w:ascii="Times New Roman" w:hAnsi="Times New Roman" w:cs="Times New Roman"/>
          <w:sz w:val="24"/>
          <w:szCs w:val="24"/>
        </w:rPr>
        <w:t xml:space="preserve"> (a chamada “contrafé”). O mandado conterá apenas os dados necessários à audiência, sendo assegurado ao réu o direito de examinar o conteúdo da inicial a qualquer tempo, em cartório (CPC, art. 695, § 1º).</w:t>
      </w:r>
    </w:p>
    <w:p w14:paraId="4628B539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citação</w:t>
      </w:r>
      <w:r w:rsidRPr="00C93349">
        <w:rPr>
          <w:rFonts w:ascii="Times New Roman" w:hAnsi="Times New Roman" w:cs="Times New Roman"/>
          <w:sz w:val="24"/>
          <w:szCs w:val="24"/>
        </w:rPr>
        <w:t xml:space="preserve"> para a ação de família será feita na pessoa do réu e deve ocorrer com antecedência mínima de 15 dias da data da audiência de mediação ou conciliação (CPC, art. 695, §§ 2º e 3º).</w:t>
      </w:r>
    </w:p>
    <w:p w14:paraId="22BD22C7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Na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audiência</w:t>
      </w:r>
      <w:r w:rsidRPr="00C93349">
        <w:rPr>
          <w:rFonts w:ascii="Times New Roman" w:hAnsi="Times New Roman" w:cs="Times New Roman"/>
          <w:sz w:val="24"/>
          <w:szCs w:val="24"/>
        </w:rPr>
        <w:t xml:space="preserve">, as partes devem estar acompanhadas de advogado (CPC, art. 695, § 4º). Na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mediação extrajudicial</w:t>
      </w:r>
      <w:r w:rsidRPr="00C93349">
        <w:rPr>
          <w:rFonts w:ascii="Times New Roman" w:hAnsi="Times New Roman" w:cs="Times New Roman"/>
          <w:sz w:val="24"/>
          <w:szCs w:val="24"/>
        </w:rPr>
        <w:t>, não há essa obrigatoriedade, mas é mera opção (Lei n. 13.140/2015, art. 10).</w:t>
      </w:r>
    </w:p>
    <w:p w14:paraId="4CEBE251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O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MP</w:t>
      </w:r>
      <w:r w:rsidRPr="00C93349">
        <w:rPr>
          <w:rFonts w:ascii="Times New Roman" w:hAnsi="Times New Roman" w:cs="Times New Roman"/>
          <w:sz w:val="24"/>
          <w:szCs w:val="24"/>
        </w:rPr>
        <w:t xml:space="preserve"> somente intervirá quando houver interesse de incapaz, e deverá ser ouvido previamente à homologação de eventual acordo (CPC, art. 698).</w:t>
      </w:r>
    </w:p>
    <w:p w14:paraId="105615D8" w14:textId="77777777" w:rsidR="00210220" w:rsidRPr="00C93349" w:rsidRDefault="00210220" w:rsidP="0021022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349">
        <w:rPr>
          <w:rFonts w:ascii="Times New Roman" w:hAnsi="Times New Roman" w:cs="Times New Roman"/>
          <w:sz w:val="24"/>
          <w:szCs w:val="24"/>
        </w:rPr>
        <w:t xml:space="preserve">Quando houver, no processo, discussão sobre fato relacionado a </w:t>
      </w:r>
      <w:r w:rsidRPr="00C93349">
        <w:rPr>
          <w:rStyle w:val="00Text"/>
          <w:rFonts w:ascii="Times New Roman" w:hAnsi="Times New Roman" w:cs="Times New Roman"/>
          <w:sz w:val="24"/>
          <w:szCs w:val="24"/>
        </w:rPr>
        <w:t>abuso ou a alienação parental</w:t>
      </w:r>
      <w:r w:rsidRPr="00C93349">
        <w:rPr>
          <w:rFonts w:ascii="Times New Roman" w:hAnsi="Times New Roman" w:cs="Times New Roman"/>
          <w:sz w:val="24"/>
          <w:szCs w:val="24"/>
        </w:rPr>
        <w:t>, o juiz, ao tomar o depoimento do incapaz, deverá estar acompanhado por especialista (CPC, art. 699).</w:t>
      </w:r>
    </w:p>
    <w:p w14:paraId="45A52008" w14:textId="77777777" w:rsidR="006779AC" w:rsidRDefault="006779AC" w:rsidP="00210220">
      <w:pPr>
        <w:pStyle w:val="Para06"/>
        <w:ind w:firstLine="360"/>
        <w:rPr>
          <w:rFonts w:ascii="Times New Roman" w:hAnsi="Times New Roman" w:cs="Times New Roman"/>
        </w:rPr>
      </w:pPr>
    </w:p>
    <w:p w14:paraId="7E23981B" w14:textId="24EE6EDC" w:rsidR="006779AC" w:rsidRDefault="00210220" w:rsidP="006779AC">
      <w:pPr>
        <w:pStyle w:val="Para06"/>
        <w:ind w:firstLine="360"/>
        <w:jc w:val="left"/>
        <w:rPr>
          <w:rFonts w:ascii="Times New Roman" w:hAnsi="Times New Roman" w:cs="Times New Roman"/>
        </w:rPr>
      </w:pPr>
      <w:r w:rsidRPr="00C93349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 wp14:anchorId="391C2958" wp14:editId="086ADC14">
            <wp:simplePos x="0" y="0"/>
            <wp:positionH relativeFrom="margin">
              <wp:align>center</wp:align>
            </wp:positionH>
            <wp:positionV relativeFrom="line">
              <wp:align>top</wp:align>
            </wp:positionV>
            <wp:extent cx="3429000" cy="1447800"/>
            <wp:effectExtent l="0" t="0" r="0" b="0"/>
            <wp:wrapTopAndBottom/>
            <wp:docPr id="610" name="558.jpg" descr="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.jpg" descr="55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F9441" w14:textId="6C775947" w:rsidR="006779AC" w:rsidRDefault="006779AC" w:rsidP="00210220">
      <w:pPr>
        <w:pStyle w:val="Para06"/>
        <w:ind w:firstLine="360"/>
        <w:rPr>
          <w:rFonts w:ascii="Times New Roman" w:hAnsi="Times New Roman" w:cs="Times New Roman"/>
        </w:rPr>
      </w:pPr>
    </w:p>
    <w:p w14:paraId="1FA20033" w14:textId="30B90459" w:rsidR="006779AC" w:rsidRPr="006779AC" w:rsidRDefault="006779AC" w:rsidP="006779AC">
      <w:pPr>
        <w:pStyle w:val="aulacorpotexto"/>
        <w:numPr>
          <w:ilvl w:val="0"/>
          <w:numId w:val="1"/>
        </w:numPr>
        <w:tabs>
          <w:tab w:val="left" w:pos="7088"/>
        </w:tabs>
        <w:rPr>
          <w:szCs w:val="24"/>
        </w:rPr>
      </w:pPr>
      <w:r w:rsidRPr="00C93349">
        <w:rPr>
          <w:szCs w:val="24"/>
        </w:rPr>
        <w:t xml:space="preserve">Da </w:t>
      </w:r>
      <w:r>
        <w:rPr>
          <w:szCs w:val="24"/>
        </w:rPr>
        <w:t>ação de alimentos (L. 5478/68</w:t>
      </w:r>
      <w:r w:rsidR="003D02AF">
        <w:rPr>
          <w:szCs w:val="24"/>
        </w:rPr>
        <w:t xml:space="preserve"> – vide próxima guia de aula</w:t>
      </w:r>
      <w:r>
        <w:rPr>
          <w:szCs w:val="24"/>
        </w:rPr>
        <w:t>)</w:t>
      </w:r>
    </w:p>
    <w:p w14:paraId="7C24DB49" w14:textId="44E8A4C5" w:rsidR="006779AC" w:rsidRDefault="006779AC" w:rsidP="006779AC">
      <w:pPr>
        <w:pStyle w:val="Para06"/>
        <w:ind w:firstLineChars="0" w:firstLine="0"/>
        <w:jc w:val="left"/>
        <w:rPr>
          <w:rFonts w:ascii="Times New Roman" w:hAnsi="Times New Roman" w:cs="Times New Roman"/>
        </w:rPr>
      </w:pPr>
    </w:p>
    <w:sectPr w:rsidR="00677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1243"/>
    <w:multiLevelType w:val="hybridMultilevel"/>
    <w:tmpl w:val="B4DA8AB8"/>
    <w:lvl w:ilvl="0" w:tplc="2EE46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2F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06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4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4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0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C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22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81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6775E6"/>
    <w:multiLevelType w:val="hybridMultilevel"/>
    <w:tmpl w:val="F378F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65"/>
    <w:rsid w:val="00083179"/>
    <w:rsid w:val="000B781F"/>
    <w:rsid w:val="001C1430"/>
    <w:rsid w:val="00210220"/>
    <w:rsid w:val="003D02AF"/>
    <w:rsid w:val="006779AC"/>
    <w:rsid w:val="00735F65"/>
    <w:rsid w:val="00892953"/>
    <w:rsid w:val="00A61906"/>
    <w:rsid w:val="00AA432F"/>
    <w:rsid w:val="00AB4960"/>
    <w:rsid w:val="00C93349"/>
    <w:rsid w:val="00CA5F5B"/>
    <w:rsid w:val="00F803F7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CEB"/>
  <w15:chartTrackingRefBased/>
  <w15:docId w15:val="{EC0F035C-1A4D-4A51-890D-0C6AA013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lacorpotexto">
    <w:name w:val="aula corpo texto"/>
    <w:basedOn w:val="Normal"/>
    <w:rsid w:val="00735F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87675"/>
    <w:pPr>
      <w:ind w:left="720"/>
      <w:contextualSpacing/>
    </w:pPr>
  </w:style>
  <w:style w:type="paragraph" w:customStyle="1" w:styleId="Para06">
    <w:name w:val="Para 06"/>
    <w:basedOn w:val="Normal"/>
    <w:qFormat/>
    <w:rsid w:val="00083179"/>
    <w:pPr>
      <w:spacing w:after="0" w:line="288" w:lineRule="atLeast"/>
      <w:ind w:firstLineChars="150" w:firstLine="150"/>
      <w:jc w:val="center"/>
    </w:pPr>
    <w:rPr>
      <w:rFonts w:ascii="Cambria" w:eastAsia="Cambria" w:hAnsi="Cambria" w:cs="Cambria"/>
      <w:color w:val="000000"/>
      <w:sz w:val="24"/>
      <w:szCs w:val="24"/>
      <w:lang w:val="pt" w:eastAsia="pt"/>
    </w:rPr>
  </w:style>
  <w:style w:type="character" w:customStyle="1" w:styleId="00Text">
    <w:name w:val="00 Text"/>
    <w:rsid w:val="00083179"/>
    <w:rPr>
      <w:b/>
      <w:bCs/>
      <w:color w:val="007A9A"/>
    </w:rPr>
  </w:style>
  <w:style w:type="character" w:customStyle="1" w:styleId="01Text">
    <w:name w:val="01 Text"/>
    <w:rsid w:val="00083179"/>
    <w:rPr>
      <w:i/>
      <w:iCs/>
    </w:rPr>
  </w:style>
  <w:style w:type="paragraph" w:customStyle="1" w:styleId="Para17">
    <w:name w:val="Para 17"/>
    <w:basedOn w:val="Normal"/>
    <w:qFormat/>
    <w:rsid w:val="00CA5F5B"/>
    <w:pPr>
      <w:spacing w:after="0" w:line="335" w:lineRule="atLeast"/>
      <w:ind w:firstLineChars="150" w:firstLine="150"/>
      <w:jc w:val="both"/>
    </w:pPr>
    <w:rPr>
      <w:rFonts w:ascii="Cambria" w:eastAsia="Cambria" w:hAnsi="Cambria" w:cs="Times New Roman"/>
      <w:b/>
      <w:bCs/>
      <w:color w:val="007A9A"/>
      <w:sz w:val="24"/>
      <w:szCs w:val="24"/>
      <w:lang w:val="pt" w:eastAsia="pt"/>
    </w:rPr>
  </w:style>
  <w:style w:type="paragraph" w:customStyle="1" w:styleId="Para22">
    <w:name w:val="Para 22"/>
    <w:basedOn w:val="Normal"/>
    <w:qFormat/>
    <w:rsid w:val="00CA5F5B"/>
    <w:pPr>
      <w:spacing w:after="0" w:line="335" w:lineRule="atLeast"/>
      <w:ind w:left="451" w:firstLineChars="150" w:firstLine="150"/>
      <w:jc w:val="both"/>
    </w:pPr>
    <w:rPr>
      <w:rFonts w:ascii="Cambria" w:eastAsia="Cambria" w:hAnsi="Cambria" w:cs="Times New Roman"/>
      <w:b/>
      <w:bCs/>
      <w:color w:val="007A9A"/>
      <w:sz w:val="24"/>
      <w:szCs w:val="24"/>
      <w:lang w:val="pt" w:eastAsia="pt"/>
    </w:rPr>
  </w:style>
  <w:style w:type="character" w:customStyle="1" w:styleId="02Text">
    <w:name w:val="02 Text"/>
    <w:rsid w:val="00CA5F5B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4</cp:revision>
  <dcterms:created xsi:type="dcterms:W3CDTF">2022-02-10T16:00:00Z</dcterms:created>
  <dcterms:modified xsi:type="dcterms:W3CDTF">2022-02-10T16:09:00Z</dcterms:modified>
</cp:coreProperties>
</file>